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535D" w14:textId="549EFD27" w:rsidR="00F76E29" w:rsidRPr="00F76E29" w:rsidRDefault="00F76E29" w:rsidP="00E57EC0">
      <w:pPr>
        <w:pStyle w:val="Title"/>
        <w:keepNext/>
        <w:pageBreakBefore/>
        <w:jc w:val="right"/>
        <w:rPr>
          <w:rFonts w:asciiTheme="minorHAnsi" w:hAnsiTheme="minorHAnsi"/>
          <w:szCs w:val="20"/>
        </w:rPr>
      </w:pPr>
      <w:bookmarkStart w:id="0" w:name="_GoBack"/>
      <w:bookmarkEnd w:id="0"/>
    </w:p>
    <w:p w14:paraId="00A1E743" w14:textId="77777777" w:rsidR="00E57EC0" w:rsidRDefault="007F23BC" w:rsidP="00E57EC0">
      <w:pPr>
        <w:pStyle w:val="Title"/>
        <w:keepNext/>
        <w:spacing w:before="240"/>
        <w:rPr>
          <w:rFonts w:asciiTheme="minorHAnsi" w:hAnsiTheme="minorHAnsi"/>
          <w:sz w:val="40"/>
        </w:rPr>
      </w:pPr>
      <w:r w:rsidRPr="00F76E29">
        <w:rPr>
          <w:rFonts w:asciiTheme="minorHAnsi" w:hAnsiTheme="minorHAnsi"/>
          <w:sz w:val="40"/>
        </w:rPr>
        <w:t>Bogota Financial Corp. Reports Results for the</w:t>
      </w:r>
      <w:r w:rsidR="004E2293" w:rsidRPr="00F76E29">
        <w:rPr>
          <w:rFonts w:asciiTheme="minorHAnsi" w:hAnsiTheme="minorHAnsi"/>
          <w:sz w:val="40"/>
        </w:rPr>
        <w:t xml:space="preserve"> </w:t>
      </w:r>
    </w:p>
    <w:p w14:paraId="5E31ABF6" w14:textId="550F1412" w:rsidR="007F23BC" w:rsidRPr="00F76E29" w:rsidRDefault="002776DC" w:rsidP="00E57EC0">
      <w:pPr>
        <w:pStyle w:val="Title"/>
        <w:keepNext/>
        <w:rPr>
          <w:rFonts w:asciiTheme="minorHAnsi" w:hAnsiTheme="minorHAnsi" w:cstheme="minorHAnsi"/>
          <w:b w:val="0"/>
          <w:bCs w:val="0"/>
          <w:sz w:val="40"/>
          <w:szCs w:val="56"/>
        </w:rPr>
      </w:pPr>
      <w:r>
        <w:rPr>
          <w:rFonts w:asciiTheme="minorHAnsi" w:hAnsiTheme="minorHAnsi"/>
          <w:sz w:val="40"/>
        </w:rPr>
        <w:t xml:space="preserve">Three and </w:t>
      </w:r>
      <w:r w:rsidR="00C21036">
        <w:rPr>
          <w:rFonts w:asciiTheme="minorHAnsi" w:hAnsiTheme="minorHAnsi"/>
          <w:sz w:val="40"/>
        </w:rPr>
        <w:t>Nine</w:t>
      </w:r>
      <w:r w:rsidR="007F23BC" w:rsidRPr="00F76E29">
        <w:rPr>
          <w:rFonts w:asciiTheme="minorHAnsi" w:hAnsiTheme="minorHAnsi"/>
          <w:sz w:val="40"/>
        </w:rPr>
        <w:t xml:space="preserve"> Months Ended </w:t>
      </w:r>
      <w:r w:rsidR="005A035A">
        <w:rPr>
          <w:rFonts w:asciiTheme="minorHAnsi" w:hAnsiTheme="minorHAnsi"/>
          <w:sz w:val="40"/>
        </w:rPr>
        <w:t>September</w:t>
      </w:r>
      <w:r w:rsidR="007F23BC" w:rsidRPr="00F76E29">
        <w:rPr>
          <w:rFonts w:asciiTheme="minorHAnsi" w:hAnsiTheme="minorHAnsi"/>
          <w:sz w:val="40"/>
        </w:rPr>
        <w:t xml:space="preserve"> 3</w:t>
      </w:r>
      <w:r w:rsidR="00EC4838">
        <w:rPr>
          <w:rFonts w:asciiTheme="minorHAnsi" w:hAnsiTheme="minorHAnsi"/>
          <w:sz w:val="40"/>
        </w:rPr>
        <w:t>0</w:t>
      </w:r>
      <w:r w:rsidR="007F23BC" w:rsidRPr="00F76E29">
        <w:rPr>
          <w:rFonts w:asciiTheme="minorHAnsi" w:hAnsiTheme="minorHAnsi"/>
          <w:sz w:val="40"/>
        </w:rPr>
        <w:t>, 20</w:t>
      </w:r>
      <w:r w:rsidR="004C5018" w:rsidRPr="00F76E29">
        <w:rPr>
          <w:rFonts w:asciiTheme="minorHAnsi" w:hAnsiTheme="minorHAnsi"/>
          <w:sz w:val="40"/>
        </w:rPr>
        <w:t>20</w:t>
      </w:r>
      <w:r w:rsidR="007F23BC" w:rsidRPr="00F76E29">
        <w:rPr>
          <w:rFonts w:asciiTheme="minorHAnsi" w:hAnsiTheme="minorHAnsi"/>
          <w:sz w:val="40"/>
        </w:rPr>
        <w:t xml:space="preserve"> </w:t>
      </w:r>
    </w:p>
    <w:p w14:paraId="329EE62B" w14:textId="77777777" w:rsidR="00F76E29" w:rsidRPr="00F76E29" w:rsidRDefault="00F76E29" w:rsidP="007F23BC">
      <w:pPr>
        <w:rPr>
          <w:rFonts w:asciiTheme="minorHAnsi" w:hAnsiTheme="minorHAnsi" w:cs="Calibri"/>
        </w:rPr>
      </w:pPr>
    </w:p>
    <w:p w14:paraId="14F0D0D9" w14:textId="77777777" w:rsidR="00F76E29" w:rsidRPr="00F76E29" w:rsidRDefault="00F76E29" w:rsidP="00F76E29">
      <w:pPr>
        <w:pBdr>
          <w:top w:val="single" w:sz="8" w:space="1" w:color="auto"/>
        </w:pBdr>
        <w:rPr>
          <w:rFonts w:asciiTheme="minorHAnsi" w:hAnsiTheme="minorHAnsi" w:cs="Calibri"/>
          <w:sz w:val="12"/>
        </w:rPr>
      </w:pPr>
    </w:p>
    <w:p w14:paraId="7588C469" w14:textId="77777777" w:rsidR="007F23BC" w:rsidRPr="00F76E29" w:rsidRDefault="007F23BC" w:rsidP="007F23BC">
      <w:pPr>
        <w:rPr>
          <w:rFonts w:asciiTheme="minorHAnsi" w:hAnsiTheme="minorHAnsi" w:cs="Calibri"/>
        </w:rPr>
      </w:pPr>
      <w:r w:rsidRPr="00F76E29">
        <w:rPr>
          <w:rFonts w:asciiTheme="minorHAnsi" w:hAnsiTheme="minorHAnsi" w:cs="Calibri"/>
        </w:rPr>
        <w:t>NEWS PROVIDED BY</w:t>
      </w:r>
    </w:p>
    <w:p w14:paraId="1AE3D719" w14:textId="77777777" w:rsidR="007F23BC" w:rsidRPr="00F76E29" w:rsidRDefault="007F23BC" w:rsidP="007F23BC">
      <w:pPr>
        <w:rPr>
          <w:rFonts w:asciiTheme="minorHAnsi" w:hAnsiTheme="minorHAnsi" w:cs="Calibri"/>
          <w:b/>
        </w:rPr>
      </w:pPr>
      <w:r w:rsidRPr="00F76E29">
        <w:rPr>
          <w:rFonts w:asciiTheme="minorHAnsi" w:hAnsiTheme="minorHAnsi" w:cs="Calibri"/>
          <w:b/>
        </w:rPr>
        <w:t xml:space="preserve">Bogota Financial Corp. </w:t>
      </w:r>
    </w:p>
    <w:p w14:paraId="31BFA3BD" w14:textId="77777777" w:rsidR="007F23BC" w:rsidRPr="00F76E29" w:rsidRDefault="007F23BC" w:rsidP="00F76E29">
      <w:pPr>
        <w:pBdr>
          <w:bottom w:val="single" w:sz="8" w:space="1" w:color="auto"/>
        </w:pBdr>
        <w:rPr>
          <w:rFonts w:asciiTheme="minorHAnsi" w:hAnsiTheme="minorHAnsi"/>
          <w:sz w:val="12"/>
        </w:rPr>
      </w:pPr>
    </w:p>
    <w:p w14:paraId="1FF95258" w14:textId="77777777" w:rsidR="007F23BC" w:rsidRPr="00F76E29" w:rsidRDefault="007F23BC" w:rsidP="007F23BC">
      <w:pPr>
        <w:rPr>
          <w:rFonts w:asciiTheme="minorHAnsi" w:hAnsiTheme="minorHAnsi"/>
        </w:rPr>
      </w:pPr>
    </w:p>
    <w:p w14:paraId="3AD8B4CA" w14:textId="06899A71" w:rsidR="00663959" w:rsidRPr="00F76E29" w:rsidRDefault="00663959" w:rsidP="00F76E29">
      <w:pPr>
        <w:spacing w:after="200"/>
        <w:jc w:val="both"/>
        <w:rPr>
          <w:rFonts w:asciiTheme="minorHAnsi" w:hAnsiTheme="minorHAnsi" w:cs="Calibri"/>
        </w:rPr>
      </w:pPr>
      <w:r w:rsidRPr="00F76E29">
        <w:rPr>
          <w:rFonts w:asciiTheme="minorHAnsi" w:hAnsiTheme="minorHAnsi"/>
          <w:b/>
        </w:rPr>
        <w:t xml:space="preserve">Teaneck, New Jersey, </w:t>
      </w:r>
      <w:r w:rsidR="00C667E2">
        <w:rPr>
          <w:rFonts w:asciiTheme="minorHAnsi" w:hAnsiTheme="minorHAnsi"/>
          <w:b/>
        </w:rPr>
        <w:t>October</w:t>
      </w:r>
      <w:r w:rsidRPr="00F76E29">
        <w:rPr>
          <w:rFonts w:asciiTheme="minorHAnsi" w:hAnsiTheme="minorHAnsi"/>
          <w:b/>
        </w:rPr>
        <w:t xml:space="preserve"> </w:t>
      </w:r>
      <w:r w:rsidR="00C667E2">
        <w:rPr>
          <w:rFonts w:asciiTheme="minorHAnsi" w:hAnsiTheme="minorHAnsi"/>
          <w:b/>
        </w:rPr>
        <w:t>29</w:t>
      </w:r>
      <w:r w:rsidRPr="00F76E29">
        <w:rPr>
          <w:rFonts w:asciiTheme="minorHAnsi" w:hAnsiTheme="minorHAnsi"/>
          <w:b/>
        </w:rPr>
        <w:t xml:space="preserve">, 2020 </w:t>
      </w:r>
      <w:r w:rsidRPr="00F76E29">
        <w:rPr>
          <w:rFonts w:asciiTheme="minorHAnsi" w:hAnsiTheme="minorHAnsi" w:cs="Calibri"/>
          <w:b/>
          <w:bCs/>
        </w:rPr>
        <w:t xml:space="preserve">– </w:t>
      </w:r>
      <w:r w:rsidRPr="00F76E29">
        <w:rPr>
          <w:rFonts w:asciiTheme="minorHAnsi" w:hAnsiTheme="minorHAnsi" w:cs="Calibri"/>
        </w:rPr>
        <w:t xml:space="preserve">Bogota Financial Corp. (the “Company”) (NASDAQ: BSBK), the holding company for Bogota Savings Bank (the “Bank”), reported net </w:t>
      </w:r>
      <w:r w:rsidR="00BF5FE8">
        <w:rPr>
          <w:rFonts w:asciiTheme="minorHAnsi" w:hAnsiTheme="minorHAnsi" w:cs="Calibri"/>
        </w:rPr>
        <w:t>income</w:t>
      </w:r>
      <w:r w:rsidRPr="00F76E29">
        <w:rPr>
          <w:rFonts w:asciiTheme="minorHAnsi" w:hAnsiTheme="minorHAnsi" w:cs="Calibri"/>
        </w:rPr>
        <w:t xml:space="preserve"> for the three months ended </w:t>
      </w:r>
      <w:r w:rsidR="005A035A">
        <w:rPr>
          <w:rFonts w:asciiTheme="minorHAnsi" w:hAnsiTheme="minorHAnsi" w:cs="Calibri"/>
        </w:rPr>
        <w:t>September</w:t>
      </w:r>
      <w:r w:rsidRPr="00F76E29">
        <w:rPr>
          <w:rFonts w:asciiTheme="minorHAnsi" w:hAnsiTheme="minorHAnsi" w:cs="Calibri"/>
        </w:rPr>
        <w:t xml:space="preserve"> 3</w:t>
      </w:r>
      <w:r w:rsidR="00BF5FE8">
        <w:rPr>
          <w:rFonts w:asciiTheme="minorHAnsi" w:hAnsiTheme="minorHAnsi" w:cs="Calibri"/>
        </w:rPr>
        <w:t>0</w:t>
      </w:r>
      <w:r w:rsidRPr="00F76E29">
        <w:rPr>
          <w:rFonts w:asciiTheme="minorHAnsi" w:hAnsiTheme="minorHAnsi" w:cs="Calibri"/>
        </w:rPr>
        <w:t>, 2020 of $</w:t>
      </w:r>
      <w:r w:rsidR="005A035A">
        <w:rPr>
          <w:rFonts w:asciiTheme="minorHAnsi" w:hAnsiTheme="minorHAnsi" w:cs="Calibri"/>
        </w:rPr>
        <w:t>956,000</w:t>
      </w:r>
      <w:r w:rsidRPr="00F76E29">
        <w:rPr>
          <w:rFonts w:asciiTheme="minorHAnsi" w:hAnsiTheme="minorHAnsi" w:cs="Calibri"/>
        </w:rPr>
        <w:t>, compared to net income of $</w:t>
      </w:r>
      <w:r w:rsidR="005A035A">
        <w:rPr>
          <w:rFonts w:asciiTheme="minorHAnsi" w:hAnsiTheme="minorHAnsi" w:cs="Calibri"/>
        </w:rPr>
        <w:t>671,000</w:t>
      </w:r>
      <w:r w:rsidRPr="00F76E29">
        <w:rPr>
          <w:rFonts w:asciiTheme="minorHAnsi" w:hAnsiTheme="minorHAnsi" w:cs="Calibri"/>
        </w:rPr>
        <w:t xml:space="preserve"> for the comparable prior year period.  </w:t>
      </w:r>
      <w:r w:rsidR="00BF5FE8">
        <w:rPr>
          <w:rFonts w:asciiTheme="minorHAnsi" w:hAnsiTheme="minorHAnsi" w:cs="Calibri"/>
        </w:rPr>
        <w:t xml:space="preserve">The </w:t>
      </w:r>
      <w:r w:rsidR="00F97738">
        <w:rPr>
          <w:rFonts w:asciiTheme="minorHAnsi" w:hAnsiTheme="minorHAnsi" w:cs="Calibri"/>
        </w:rPr>
        <w:t>Company</w:t>
      </w:r>
      <w:r w:rsidR="00BF5FE8">
        <w:rPr>
          <w:rFonts w:asciiTheme="minorHAnsi" w:hAnsiTheme="minorHAnsi" w:cs="Calibri"/>
        </w:rPr>
        <w:t xml:space="preserve"> reported net income for the </w:t>
      </w:r>
      <w:r w:rsidR="00F85721">
        <w:rPr>
          <w:rFonts w:asciiTheme="minorHAnsi" w:hAnsiTheme="minorHAnsi" w:cs="Calibri"/>
        </w:rPr>
        <w:t>nine</w:t>
      </w:r>
      <w:r w:rsidR="00BF5FE8">
        <w:rPr>
          <w:rFonts w:asciiTheme="minorHAnsi" w:hAnsiTheme="minorHAnsi" w:cs="Calibri"/>
        </w:rPr>
        <w:t xml:space="preserve"> months ended </w:t>
      </w:r>
      <w:r w:rsidR="005A035A">
        <w:rPr>
          <w:rFonts w:asciiTheme="minorHAnsi" w:hAnsiTheme="minorHAnsi" w:cs="Calibri"/>
        </w:rPr>
        <w:t>September</w:t>
      </w:r>
      <w:r w:rsidR="00BF5FE8">
        <w:rPr>
          <w:rFonts w:asciiTheme="minorHAnsi" w:hAnsiTheme="minorHAnsi" w:cs="Calibri"/>
        </w:rPr>
        <w:t xml:space="preserve"> 30, 2020 of $</w:t>
      </w:r>
      <w:r w:rsidR="005A035A">
        <w:rPr>
          <w:rFonts w:asciiTheme="minorHAnsi" w:hAnsiTheme="minorHAnsi" w:cs="Calibri"/>
        </w:rPr>
        <w:t>1.0 million</w:t>
      </w:r>
      <w:r w:rsidR="00BF5FE8">
        <w:rPr>
          <w:rFonts w:asciiTheme="minorHAnsi" w:hAnsiTheme="minorHAnsi" w:cs="Calibri"/>
        </w:rPr>
        <w:t xml:space="preserve"> compared to a net income of $</w:t>
      </w:r>
      <w:r w:rsidR="005A035A">
        <w:rPr>
          <w:rFonts w:asciiTheme="minorHAnsi" w:hAnsiTheme="minorHAnsi" w:cs="Calibri"/>
        </w:rPr>
        <w:t>1.6 million</w:t>
      </w:r>
      <w:r w:rsidR="00BF5FE8">
        <w:rPr>
          <w:rFonts w:asciiTheme="minorHAnsi" w:hAnsiTheme="minorHAnsi" w:cs="Calibri"/>
        </w:rPr>
        <w:t xml:space="preserve"> for the comparable</w:t>
      </w:r>
      <w:r w:rsidR="00F97738">
        <w:rPr>
          <w:rFonts w:asciiTheme="minorHAnsi" w:hAnsiTheme="minorHAnsi" w:cs="Calibri"/>
        </w:rPr>
        <w:t xml:space="preserve"> prior</w:t>
      </w:r>
      <w:r w:rsidR="00BF5FE8">
        <w:rPr>
          <w:rFonts w:asciiTheme="minorHAnsi" w:hAnsiTheme="minorHAnsi" w:cs="Calibri"/>
        </w:rPr>
        <w:t xml:space="preserve"> </w:t>
      </w:r>
      <w:r w:rsidR="00F97738">
        <w:rPr>
          <w:rFonts w:asciiTheme="minorHAnsi" w:hAnsiTheme="minorHAnsi" w:cs="Calibri"/>
        </w:rPr>
        <w:t>year period</w:t>
      </w:r>
      <w:r w:rsidR="00BF5FE8">
        <w:rPr>
          <w:rFonts w:asciiTheme="minorHAnsi" w:hAnsiTheme="minorHAnsi" w:cs="Calibri"/>
        </w:rPr>
        <w:t xml:space="preserve">. </w:t>
      </w:r>
      <w:r w:rsidRPr="00F76E29">
        <w:rPr>
          <w:rFonts w:asciiTheme="minorHAnsi" w:hAnsiTheme="minorHAnsi" w:cs="Calibri"/>
        </w:rPr>
        <w:t xml:space="preserve"> The </w:t>
      </w:r>
      <w:r w:rsidR="00F97738">
        <w:rPr>
          <w:rFonts w:asciiTheme="minorHAnsi" w:hAnsiTheme="minorHAnsi" w:cs="Calibri"/>
        </w:rPr>
        <w:t>Company</w:t>
      </w:r>
      <w:r w:rsidRPr="00F76E29">
        <w:rPr>
          <w:rFonts w:asciiTheme="minorHAnsi" w:hAnsiTheme="minorHAnsi" w:cs="Calibri"/>
        </w:rPr>
        <w:t xml:space="preserve"> contributed cash and stock with a value of $2.9 million ($2.1 million after-tax) to the Bogota Charitable Foundation </w:t>
      </w:r>
      <w:r w:rsidR="00BF5FE8">
        <w:rPr>
          <w:rFonts w:asciiTheme="minorHAnsi" w:hAnsiTheme="minorHAnsi" w:cs="Calibri"/>
        </w:rPr>
        <w:t xml:space="preserve">during the </w:t>
      </w:r>
      <w:r w:rsidR="005A035A">
        <w:rPr>
          <w:rFonts w:asciiTheme="minorHAnsi" w:hAnsiTheme="minorHAnsi" w:cs="Calibri"/>
        </w:rPr>
        <w:t>nine</w:t>
      </w:r>
      <w:r w:rsidR="00BF5FE8">
        <w:rPr>
          <w:rFonts w:asciiTheme="minorHAnsi" w:hAnsiTheme="minorHAnsi" w:cs="Calibri"/>
        </w:rPr>
        <w:t xml:space="preserve"> months ended </w:t>
      </w:r>
      <w:r w:rsidR="005A035A">
        <w:rPr>
          <w:rFonts w:asciiTheme="minorHAnsi" w:hAnsiTheme="minorHAnsi" w:cs="Calibri"/>
        </w:rPr>
        <w:t>September</w:t>
      </w:r>
      <w:r w:rsidR="00BF5FE8">
        <w:rPr>
          <w:rFonts w:asciiTheme="minorHAnsi" w:hAnsiTheme="minorHAnsi" w:cs="Calibri"/>
        </w:rPr>
        <w:t xml:space="preserve"> 30, 2020</w:t>
      </w:r>
      <w:r w:rsidRPr="00F76E29">
        <w:rPr>
          <w:rFonts w:asciiTheme="minorHAnsi" w:hAnsiTheme="minorHAnsi" w:cs="Calibri"/>
        </w:rPr>
        <w:t xml:space="preserve">.  </w:t>
      </w:r>
      <w:r w:rsidR="00AC4312">
        <w:rPr>
          <w:rFonts w:asciiTheme="minorHAnsi" w:hAnsiTheme="minorHAnsi" w:cs="Calibri"/>
        </w:rPr>
        <w:t xml:space="preserve">Also during the nine months ended September 30, 2020 the Company had merger and acquisition related expenses of $79,000. </w:t>
      </w:r>
      <w:r w:rsidRPr="00F76E29">
        <w:rPr>
          <w:rFonts w:asciiTheme="minorHAnsi" w:hAnsiTheme="minorHAnsi" w:cs="Calibri"/>
        </w:rPr>
        <w:t xml:space="preserve">Without </w:t>
      </w:r>
      <w:r w:rsidR="00F14B46">
        <w:rPr>
          <w:rFonts w:asciiTheme="minorHAnsi" w:hAnsiTheme="minorHAnsi" w:cs="Calibri"/>
        </w:rPr>
        <w:t>the</w:t>
      </w:r>
      <w:r w:rsidRPr="00F76E29">
        <w:rPr>
          <w:rFonts w:asciiTheme="minorHAnsi" w:hAnsiTheme="minorHAnsi" w:cs="Calibri"/>
        </w:rPr>
        <w:t xml:space="preserve"> contribution</w:t>
      </w:r>
      <w:r w:rsidR="00F14B46">
        <w:rPr>
          <w:rFonts w:asciiTheme="minorHAnsi" w:hAnsiTheme="minorHAnsi" w:cs="Calibri"/>
        </w:rPr>
        <w:t xml:space="preserve"> to the charitable foundation</w:t>
      </w:r>
      <w:r w:rsidR="00AC4312">
        <w:rPr>
          <w:rFonts w:asciiTheme="minorHAnsi" w:hAnsiTheme="minorHAnsi" w:cs="Calibri"/>
        </w:rPr>
        <w:t xml:space="preserve"> and merger expenses</w:t>
      </w:r>
      <w:r w:rsidRPr="00F76E29">
        <w:rPr>
          <w:rFonts w:asciiTheme="minorHAnsi" w:hAnsiTheme="minorHAnsi" w:cs="Calibri"/>
        </w:rPr>
        <w:t>, net income would have been $</w:t>
      </w:r>
      <w:r w:rsidR="005A035A">
        <w:rPr>
          <w:rFonts w:asciiTheme="minorHAnsi" w:hAnsiTheme="minorHAnsi" w:cs="Calibri"/>
        </w:rPr>
        <w:t>3</w:t>
      </w:r>
      <w:r w:rsidR="00BF5FE8">
        <w:rPr>
          <w:rFonts w:asciiTheme="minorHAnsi" w:hAnsiTheme="minorHAnsi" w:cs="Calibri"/>
        </w:rPr>
        <w:t>.</w:t>
      </w:r>
      <w:r w:rsidR="00AC4312">
        <w:rPr>
          <w:rFonts w:asciiTheme="minorHAnsi" w:hAnsiTheme="minorHAnsi" w:cs="Calibri"/>
        </w:rPr>
        <w:t>2</w:t>
      </w:r>
      <w:r w:rsidR="00BF5FE8">
        <w:rPr>
          <w:rFonts w:asciiTheme="minorHAnsi" w:hAnsiTheme="minorHAnsi" w:cs="Calibri"/>
        </w:rPr>
        <w:t xml:space="preserve"> million</w:t>
      </w:r>
      <w:r w:rsidRPr="00F76E29">
        <w:rPr>
          <w:rFonts w:asciiTheme="minorHAnsi" w:hAnsiTheme="minorHAnsi" w:cs="Calibri"/>
        </w:rPr>
        <w:t>.</w:t>
      </w:r>
    </w:p>
    <w:p w14:paraId="1BB8BE68" w14:textId="43759D77" w:rsidR="00F97738" w:rsidRDefault="00F97738" w:rsidP="00F97738">
      <w:pPr>
        <w:spacing w:after="200"/>
        <w:jc w:val="both"/>
        <w:rPr>
          <w:rFonts w:asciiTheme="minorHAnsi" w:hAnsiTheme="minorHAnsi" w:cs="Calibri"/>
        </w:rPr>
      </w:pPr>
      <w:r w:rsidRPr="00F76E29">
        <w:rPr>
          <w:rFonts w:asciiTheme="minorHAnsi" w:hAnsiTheme="minorHAnsi" w:cs="Calibri"/>
        </w:rPr>
        <w:t>On January 15, 2020, the Company became the holding company for the Bank when it complet</w:t>
      </w:r>
      <w:r>
        <w:rPr>
          <w:rFonts w:asciiTheme="minorHAnsi" w:hAnsiTheme="minorHAnsi" w:cs="Calibri"/>
        </w:rPr>
        <w:t>ed</w:t>
      </w:r>
      <w:r w:rsidRPr="00F76E29">
        <w:rPr>
          <w:rFonts w:asciiTheme="minorHAnsi" w:hAnsiTheme="minorHAnsi" w:cs="Calibri"/>
        </w:rPr>
        <w:t xml:space="preserve"> the reorganization of the Bank into a two-tier mutual holding company form of organization. In connection with the reorganization, the Company sold 5,657,735 shares of common stock at a price of $10 per share, for gross proceeds of $56.6 million.  The Company also issued 263,150 shares of common stock and $250,000 in cash to Bogota Savings Bank Charitable Foundation, Inc., and </w:t>
      </w:r>
      <w:r>
        <w:rPr>
          <w:rFonts w:asciiTheme="minorHAnsi" w:hAnsiTheme="minorHAnsi" w:cs="Calibri"/>
        </w:rPr>
        <w:t xml:space="preserve">issued </w:t>
      </w:r>
      <w:r w:rsidRPr="00F76E29">
        <w:rPr>
          <w:rFonts w:asciiTheme="minorHAnsi" w:hAnsiTheme="minorHAnsi" w:cs="Calibri"/>
        </w:rPr>
        <w:t xml:space="preserve">7,236,640 shares of common </w:t>
      </w:r>
      <w:r w:rsidR="00C667E2">
        <w:rPr>
          <w:rFonts w:asciiTheme="minorHAnsi" w:hAnsiTheme="minorHAnsi" w:cs="Calibri"/>
        </w:rPr>
        <w:t xml:space="preserve">stock to Bogota Financial, MHC, </w:t>
      </w:r>
      <w:r w:rsidR="00C667E2" w:rsidRPr="00F76E29">
        <w:rPr>
          <w:rFonts w:asciiTheme="minorHAnsi" w:hAnsiTheme="minorHAnsi" w:cs="Calibri"/>
        </w:rPr>
        <w:t>its</w:t>
      </w:r>
      <w:r w:rsidRPr="00F76E29">
        <w:rPr>
          <w:rFonts w:asciiTheme="minorHAnsi" w:hAnsiTheme="minorHAnsi" w:cs="Calibri"/>
        </w:rPr>
        <w:t xml:space="preserve"> New Jersey-chartered mutual holding company.  Shares of the Company’s common stock began trading on January 16, 2020 on the Nasdaq Capital Market under the trading symbol “BSBK.” </w:t>
      </w:r>
    </w:p>
    <w:p w14:paraId="1A4112AC" w14:textId="12BCCE82" w:rsidR="00B017B3" w:rsidRPr="00F76E29" w:rsidRDefault="00B017B3" w:rsidP="00F97738">
      <w:pPr>
        <w:spacing w:after="200"/>
        <w:jc w:val="both"/>
        <w:rPr>
          <w:rFonts w:asciiTheme="minorHAnsi" w:hAnsiTheme="minorHAnsi" w:cs="Calibri"/>
        </w:rPr>
      </w:pPr>
      <w:r>
        <w:rPr>
          <w:rFonts w:asciiTheme="minorHAnsi" w:hAnsiTheme="minorHAnsi" w:cs="Calibri"/>
        </w:rPr>
        <w:t>On September 3, 2020 the Bank</w:t>
      </w:r>
      <w:r w:rsidRPr="00B017B3">
        <w:rPr>
          <w:rFonts w:asciiTheme="minorHAnsi" w:hAnsiTheme="minorHAnsi" w:cs="Calibri"/>
        </w:rPr>
        <w:t xml:space="preserve"> and Gibraltar Bank ("Gibraltar") announced the execution of a merger agreement pursuant to which Gibraltar will merge with and into </w:t>
      </w:r>
      <w:r w:rsidR="00C667E2">
        <w:rPr>
          <w:rFonts w:asciiTheme="minorHAnsi" w:hAnsiTheme="minorHAnsi" w:cs="Calibri"/>
        </w:rPr>
        <w:t>the Bank</w:t>
      </w:r>
      <w:r w:rsidRPr="00B017B3">
        <w:rPr>
          <w:rFonts w:asciiTheme="minorHAnsi" w:hAnsiTheme="minorHAnsi" w:cs="Calibri"/>
        </w:rPr>
        <w:t xml:space="preserve">. The merger is expected to increase </w:t>
      </w:r>
      <w:r>
        <w:rPr>
          <w:rFonts w:asciiTheme="minorHAnsi" w:hAnsiTheme="minorHAnsi" w:cs="Calibri"/>
        </w:rPr>
        <w:t>the Bank</w:t>
      </w:r>
      <w:r w:rsidRPr="00B017B3">
        <w:rPr>
          <w:rFonts w:asciiTheme="minorHAnsi" w:hAnsiTheme="minorHAnsi" w:cs="Calibri"/>
        </w:rPr>
        <w:t xml:space="preserve">’s consolidated assets </w:t>
      </w:r>
      <w:r w:rsidR="005A58C0">
        <w:rPr>
          <w:rFonts w:asciiTheme="minorHAnsi" w:hAnsiTheme="minorHAnsi" w:cs="Calibri"/>
        </w:rPr>
        <w:t xml:space="preserve">to approximately </w:t>
      </w:r>
      <w:r w:rsidRPr="00B017B3">
        <w:rPr>
          <w:rFonts w:asciiTheme="minorHAnsi" w:hAnsiTheme="minorHAnsi" w:cs="Calibri"/>
        </w:rPr>
        <w:t>$8</w:t>
      </w:r>
      <w:r>
        <w:rPr>
          <w:rFonts w:asciiTheme="minorHAnsi" w:hAnsiTheme="minorHAnsi" w:cs="Calibri"/>
        </w:rPr>
        <w:t>60</w:t>
      </w:r>
      <w:r w:rsidRPr="00B017B3">
        <w:rPr>
          <w:rFonts w:asciiTheme="minorHAnsi" w:hAnsiTheme="minorHAnsi" w:cs="Calibri"/>
        </w:rPr>
        <w:t>.0 million</w:t>
      </w:r>
      <w:r w:rsidR="00C21036">
        <w:rPr>
          <w:rFonts w:asciiTheme="minorHAnsi" w:hAnsiTheme="minorHAnsi" w:cs="Calibri"/>
        </w:rPr>
        <w:t xml:space="preserve"> by the end of the first quarter of 2021</w:t>
      </w:r>
      <w:r w:rsidRPr="00B017B3">
        <w:rPr>
          <w:rFonts w:asciiTheme="minorHAnsi" w:hAnsiTheme="minorHAnsi" w:cs="Calibri"/>
        </w:rPr>
        <w:t>, and double its branch network.</w:t>
      </w:r>
      <w:r w:rsidR="00C667E2">
        <w:rPr>
          <w:rFonts w:asciiTheme="minorHAnsi" w:hAnsiTheme="minorHAnsi" w:cs="Calibri"/>
        </w:rPr>
        <w:t xml:space="preserve">  Also in January 2021 the Bank will be opening a new branch in Hasbrouck Heights</w:t>
      </w:r>
      <w:r w:rsidR="005A58C0">
        <w:rPr>
          <w:rFonts w:asciiTheme="minorHAnsi" w:hAnsiTheme="minorHAnsi" w:cs="Calibri"/>
        </w:rPr>
        <w:t>, New Jersey</w:t>
      </w:r>
      <w:r w:rsidR="00C667E2">
        <w:rPr>
          <w:rFonts w:asciiTheme="minorHAnsi" w:hAnsiTheme="minorHAnsi" w:cs="Calibri"/>
        </w:rPr>
        <w:t xml:space="preserve"> which will also include additional back offices for staff.</w:t>
      </w:r>
    </w:p>
    <w:p w14:paraId="5B046EAA" w14:textId="77777777" w:rsidR="007F23BC" w:rsidRPr="00F76E29" w:rsidRDefault="007F23BC" w:rsidP="00E57EC0">
      <w:pPr>
        <w:keepNext/>
        <w:jc w:val="both"/>
        <w:rPr>
          <w:rFonts w:asciiTheme="minorHAnsi" w:hAnsiTheme="minorHAnsi" w:cs="Calibri"/>
          <w:b/>
        </w:rPr>
      </w:pPr>
      <w:r w:rsidRPr="00F76E29">
        <w:rPr>
          <w:rFonts w:asciiTheme="minorHAnsi" w:hAnsiTheme="minorHAnsi" w:cs="Calibri"/>
          <w:b/>
        </w:rPr>
        <w:t xml:space="preserve">Other </w:t>
      </w:r>
      <w:r w:rsidR="00791B00" w:rsidRPr="00F76E29">
        <w:rPr>
          <w:rFonts w:asciiTheme="minorHAnsi" w:hAnsiTheme="minorHAnsi" w:cs="Calibri"/>
          <w:b/>
        </w:rPr>
        <w:t>F</w:t>
      </w:r>
      <w:r w:rsidRPr="00F76E29">
        <w:rPr>
          <w:rFonts w:asciiTheme="minorHAnsi" w:hAnsiTheme="minorHAnsi" w:cs="Calibri"/>
          <w:b/>
        </w:rPr>
        <w:t xml:space="preserve">inancial </w:t>
      </w:r>
      <w:r w:rsidR="00791B00" w:rsidRPr="00F76E29">
        <w:rPr>
          <w:rFonts w:asciiTheme="minorHAnsi" w:hAnsiTheme="minorHAnsi" w:cs="Calibri"/>
          <w:b/>
        </w:rPr>
        <w:t>H</w:t>
      </w:r>
      <w:r w:rsidRPr="00F76E29">
        <w:rPr>
          <w:rFonts w:asciiTheme="minorHAnsi" w:hAnsiTheme="minorHAnsi" w:cs="Calibri"/>
          <w:b/>
        </w:rPr>
        <w:t xml:space="preserve">ighlights: </w:t>
      </w:r>
    </w:p>
    <w:p w14:paraId="541662B2" w14:textId="742D266B" w:rsidR="007F23BC" w:rsidRPr="00F76E29" w:rsidRDefault="007F23BC" w:rsidP="00E57EC0">
      <w:pPr>
        <w:pStyle w:val="ListParagraph"/>
        <w:numPr>
          <w:ilvl w:val="0"/>
          <w:numId w:val="21"/>
        </w:numPr>
        <w:spacing w:before="120" w:after="0" w:line="276" w:lineRule="auto"/>
        <w:contextualSpacing w:val="0"/>
        <w:jc w:val="both"/>
        <w:rPr>
          <w:rFonts w:cs="Calibri"/>
        </w:rPr>
      </w:pPr>
      <w:r w:rsidRPr="00F76E29">
        <w:rPr>
          <w:rFonts w:cs="Calibri"/>
        </w:rPr>
        <w:t xml:space="preserve">Total assets </w:t>
      </w:r>
      <w:r w:rsidR="00F05B7B" w:rsidRPr="00F76E29">
        <w:rPr>
          <w:rFonts w:cs="Calibri"/>
        </w:rPr>
        <w:t>decreased</w:t>
      </w:r>
      <w:r w:rsidRPr="00F76E29">
        <w:rPr>
          <w:rFonts w:cs="Calibri"/>
        </w:rPr>
        <w:t xml:space="preserve"> $</w:t>
      </w:r>
      <w:r w:rsidR="005A035A">
        <w:rPr>
          <w:rFonts w:cs="Calibri"/>
        </w:rPr>
        <w:t>13</w:t>
      </w:r>
      <w:r w:rsidRPr="00F76E29">
        <w:rPr>
          <w:rFonts w:cs="Calibri"/>
        </w:rPr>
        <w:t>.</w:t>
      </w:r>
      <w:r w:rsidR="005A035A">
        <w:rPr>
          <w:rFonts w:cs="Calibri"/>
        </w:rPr>
        <w:t>1</w:t>
      </w:r>
      <w:r w:rsidRPr="00F76E29">
        <w:rPr>
          <w:rFonts w:cs="Calibri"/>
        </w:rPr>
        <w:t xml:space="preserve"> million, or </w:t>
      </w:r>
      <w:r w:rsidR="005A035A">
        <w:rPr>
          <w:rFonts w:cs="Calibri"/>
        </w:rPr>
        <w:t>1</w:t>
      </w:r>
      <w:r w:rsidRPr="00F76E29">
        <w:rPr>
          <w:rFonts w:cs="Calibri"/>
        </w:rPr>
        <w:t>.</w:t>
      </w:r>
      <w:r w:rsidR="005A035A">
        <w:rPr>
          <w:rFonts w:cs="Calibri"/>
        </w:rPr>
        <w:t>7</w:t>
      </w:r>
      <w:r w:rsidRPr="00F76E29">
        <w:rPr>
          <w:rFonts w:cs="Calibri"/>
        </w:rPr>
        <w:t>%, to $</w:t>
      </w:r>
      <w:r w:rsidR="00461DC0" w:rsidRPr="00F76E29">
        <w:rPr>
          <w:rFonts w:cs="Calibri"/>
        </w:rPr>
        <w:t>7</w:t>
      </w:r>
      <w:r w:rsidR="005A035A">
        <w:rPr>
          <w:rFonts w:cs="Calibri"/>
        </w:rPr>
        <w:t>53</w:t>
      </w:r>
      <w:r w:rsidRPr="00F76E29">
        <w:rPr>
          <w:rFonts w:cs="Calibri"/>
        </w:rPr>
        <w:t>.</w:t>
      </w:r>
      <w:r w:rsidR="005A035A">
        <w:rPr>
          <w:rFonts w:cs="Calibri"/>
        </w:rPr>
        <w:t>5</w:t>
      </w:r>
      <w:r w:rsidRPr="00F76E29">
        <w:rPr>
          <w:rFonts w:cs="Calibri"/>
        </w:rPr>
        <w:t xml:space="preserve"> million from </w:t>
      </w:r>
      <w:r w:rsidR="00F97738">
        <w:rPr>
          <w:rFonts w:cs="Calibri"/>
        </w:rPr>
        <w:t xml:space="preserve">$766.6 million at </w:t>
      </w:r>
      <w:r w:rsidRPr="00F76E29">
        <w:rPr>
          <w:rFonts w:cs="Calibri"/>
        </w:rPr>
        <w:t xml:space="preserve">December 31, </w:t>
      </w:r>
      <w:r w:rsidR="00FE1761" w:rsidRPr="00F76E29">
        <w:rPr>
          <w:rFonts w:cs="Calibri"/>
        </w:rPr>
        <w:t>201</w:t>
      </w:r>
      <w:r w:rsidR="00F05B7B" w:rsidRPr="00F76E29">
        <w:rPr>
          <w:rFonts w:cs="Calibri"/>
        </w:rPr>
        <w:t>9</w:t>
      </w:r>
      <w:r w:rsidRPr="00F76E29">
        <w:rPr>
          <w:rFonts w:cs="Calibri"/>
        </w:rPr>
        <w:t>.</w:t>
      </w:r>
      <w:r w:rsidR="005162CD" w:rsidRPr="00F76E29">
        <w:rPr>
          <w:rFonts w:cs="Calibri"/>
        </w:rPr>
        <w:t xml:space="preserve">  </w:t>
      </w:r>
      <w:r w:rsidR="00C75F0D" w:rsidRPr="00F76E29">
        <w:rPr>
          <w:rFonts w:cs="Calibri"/>
        </w:rPr>
        <w:t>Unfilled subscriptions of</w:t>
      </w:r>
      <w:r w:rsidR="005162CD" w:rsidRPr="00F76E29">
        <w:rPr>
          <w:rFonts w:cs="Calibri"/>
        </w:rPr>
        <w:t xml:space="preserve"> $41.5 million from the stock offering were returned</w:t>
      </w:r>
      <w:r w:rsidR="00C667E2">
        <w:rPr>
          <w:rFonts w:cs="Calibri"/>
        </w:rPr>
        <w:t xml:space="preserve"> to subscribers in January 2020</w:t>
      </w:r>
      <w:r w:rsidR="005162CD" w:rsidRPr="00F76E29">
        <w:rPr>
          <w:rFonts w:cs="Calibri"/>
        </w:rPr>
        <w:t xml:space="preserve"> </w:t>
      </w:r>
      <w:r w:rsidR="00F97738">
        <w:rPr>
          <w:rFonts w:cs="Calibri"/>
        </w:rPr>
        <w:t>following the completion of the stock offering</w:t>
      </w:r>
      <w:r w:rsidR="005162CD" w:rsidRPr="00F76E29">
        <w:rPr>
          <w:rFonts w:cs="Calibri"/>
        </w:rPr>
        <w:t xml:space="preserve">. Excluding these </w:t>
      </w:r>
      <w:r w:rsidR="00C75F0D" w:rsidRPr="00F76E29">
        <w:rPr>
          <w:rFonts w:cs="Calibri"/>
        </w:rPr>
        <w:t>funds</w:t>
      </w:r>
      <w:r w:rsidR="005162CD" w:rsidRPr="00F76E29">
        <w:rPr>
          <w:rFonts w:cs="Calibri"/>
        </w:rPr>
        <w:t xml:space="preserve">, total assets </w:t>
      </w:r>
      <w:r w:rsidR="00253701">
        <w:rPr>
          <w:rFonts w:cs="Calibri"/>
        </w:rPr>
        <w:t>in</w:t>
      </w:r>
      <w:r w:rsidR="005162CD" w:rsidRPr="00F76E29">
        <w:rPr>
          <w:rFonts w:cs="Calibri"/>
        </w:rPr>
        <w:t xml:space="preserve">creased by </w:t>
      </w:r>
      <w:r w:rsidR="005A035A">
        <w:rPr>
          <w:rFonts w:cs="Calibri"/>
        </w:rPr>
        <w:t>3</w:t>
      </w:r>
      <w:r w:rsidR="005162CD" w:rsidRPr="00F76E29">
        <w:rPr>
          <w:rFonts w:cs="Calibri"/>
        </w:rPr>
        <w:t>.</w:t>
      </w:r>
      <w:r w:rsidR="005A035A">
        <w:rPr>
          <w:rFonts w:cs="Calibri"/>
        </w:rPr>
        <w:t>9</w:t>
      </w:r>
      <w:r w:rsidR="005162CD" w:rsidRPr="00F76E29">
        <w:rPr>
          <w:rFonts w:cs="Calibri"/>
        </w:rPr>
        <w:t xml:space="preserve">% during the </w:t>
      </w:r>
      <w:r w:rsidR="005A035A">
        <w:rPr>
          <w:rFonts w:cs="Calibri"/>
        </w:rPr>
        <w:t>nine</w:t>
      </w:r>
      <w:r w:rsidR="005162CD" w:rsidRPr="00F76E29">
        <w:rPr>
          <w:rFonts w:cs="Calibri"/>
        </w:rPr>
        <w:t xml:space="preserve"> months ended </w:t>
      </w:r>
      <w:r w:rsidR="005A035A">
        <w:rPr>
          <w:rFonts w:cs="Calibri"/>
        </w:rPr>
        <w:t>September</w:t>
      </w:r>
      <w:r w:rsidR="005162CD" w:rsidRPr="00F76E29">
        <w:rPr>
          <w:rFonts w:cs="Calibri"/>
        </w:rPr>
        <w:t xml:space="preserve"> 3</w:t>
      </w:r>
      <w:r w:rsidR="00253701">
        <w:rPr>
          <w:rFonts w:cs="Calibri"/>
        </w:rPr>
        <w:t>0</w:t>
      </w:r>
      <w:r w:rsidR="005162CD" w:rsidRPr="00F76E29">
        <w:rPr>
          <w:rFonts w:cs="Calibri"/>
        </w:rPr>
        <w:t>, 2020.</w:t>
      </w:r>
    </w:p>
    <w:p w14:paraId="79D538ED" w14:textId="1556608B" w:rsidR="007F23BC" w:rsidRPr="00F76E29" w:rsidRDefault="007F23BC" w:rsidP="00E57EC0">
      <w:pPr>
        <w:pStyle w:val="ListParagraph"/>
        <w:numPr>
          <w:ilvl w:val="0"/>
          <w:numId w:val="21"/>
        </w:numPr>
        <w:spacing w:before="120" w:after="0" w:line="276" w:lineRule="auto"/>
        <w:contextualSpacing w:val="0"/>
        <w:jc w:val="both"/>
        <w:rPr>
          <w:rFonts w:cs="Calibri"/>
        </w:rPr>
      </w:pPr>
      <w:r w:rsidRPr="00F76E29">
        <w:rPr>
          <w:rFonts w:cs="Calibri"/>
        </w:rPr>
        <w:t>Net loan</w:t>
      </w:r>
      <w:r w:rsidR="004E2293" w:rsidRPr="00F76E29">
        <w:rPr>
          <w:rFonts w:cs="Calibri"/>
        </w:rPr>
        <w:t>s</w:t>
      </w:r>
      <w:r w:rsidRPr="00F76E29">
        <w:rPr>
          <w:rFonts w:cs="Calibri"/>
        </w:rPr>
        <w:t xml:space="preserve"> increased $</w:t>
      </w:r>
      <w:r w:rsidR="00372242">
        <w:rPr>
          <w:rFonts w:cs="Calibri"/>
        </w:rPr>
        <w:t>46</w:t>
      </w:r>
      <w:r w:rsidRPr="00F76E29">
        <w:rPr>
          <w:rFonts w:cs="Calibri"/>
        </w:rPr>
        <w:t>.</w:t>
      </w:r>
      <w:r w:rsidR="00372242">
        <w:rPr>
          <w:rFonts w:cs="Calibri"/>
        </w:rPr>
        <w:t>7</w:t>
      </w:r>
      <w:r w:rsidRPr="00F76E29">
        <w:rPr>
          <w:rFonts w:cs="Calibri"/>
        </w:rPr>
        <w:t xml:space="preserve"> million, or </w:t>
      </w:r>
      <w:r w:rsidR="00372242">
        <w:rPr>
          <w:rFonts w:cs="Calibri"/>
        </w:rPr>
        <w:t>8</w:t>
      </w:r>
      <w:r w:rsidRPr="00F76E29">
        <w:rPr>
          <w:rFonts w:cs="Calibri"/>
        </w:rPr>
        <w:t>.</w:t>
      </w:r>
      <w:r w:rsidR="00372242">
        <w:rPr>
          <w:rFonts w:cs="Calibri"/>
        </w:rPr>
        <w:t>7</w:t>
      </w:r>
      <w:r w:rsidRPr="00F76E29">
        <w:rPr>
          <w:rFonts w:cs="Calibri"/>
        </w:rPr>
        <w:t>%, to $</w:t>
      </w:r>
      <w:r w:rsidR="00285D1C" w:rsidRPr="00F76E29">
        <w:rPr>
          <w:rFonts w:cs="Calibri"/>
        </w:rPr>
        <w:t>5</w:t>
      </w:r>
      <w:r w:rsidR="00253701">
        <w:rPr>
          <w:rFonts w:cs="Calibri"/>
        </w:rPr>
        <w:t>8</w:t>
      </w:r>
      <w:r w:rsidR="00372242">
        <w:rPr>
          <w:rFonts w:cs="Calibri"/>
        </w:rPr>
        <w:t>3</w:t>
      </w:r>
      <w:r w:rsidRPr="00F76E29">
        <w:rPr>
          <w:rFonts w:cs="Calibri"/>
        </w:rPr>
        <w:t>.</w:t>
      </w:r>
      <w:r w:rsidR="00372242">
        <w:rPr>
          <w:rFonts w:cs="Calibri"/>
        </w:rPr>
        <w:t>8</w:t>
      </w:r>
      <w:r w:rsidRPr="00F76E29">
        <w:rPr>
          <w:rFonts w:cs="Calibri"/>
        </w:rPr>
        <w:t xml:space="preserve"> million</w:t>
      </w:r>
      <w:r w:rsidR="00C667E2">
        <w:rPr>
          <w:rFonts w:cs="Calibri"/>
        </w:rPr>
        <w:t xml:space="preserve"> at September 30, 2020</w:t>
      </w:r>
      <w:r w:rsidRPr="00F76E29">
        <w:rPr>
          <w:rFonts w:cs="Calibri"/>
        </w:rPr>
        <w:t xml:space="preserve"> from </w:t>
      </w:r>
      <w:r w:rsidR="009D4D8C">
        <w:rPr>
          <w:rFonts w:cs="Calibri"/>
        </w:rPr>
        <w:t xml:space="preserve">$537.2 million at </w:t>
      </w:r>
      <w:r w:rsidR="00E012E3" w:rsidRPr="00F76E29">
        <w:rPr>
          <w:rFonts w:cs="Calibri"/>
        </w:rPr>
        <w:t xml:space="preserve">December 31, </w:t>
      </w:r>
      <w:r w:rsidRPr="00F76E29">
        <w:rPr>
          <w:rFonts w:cs="Calibri"/>
        </w:rPr>
        <w:t>201</w:t>
      </w:r>
      <w:r w:rsidR="00841D24" w:rsidRPr="00F76E29">
        <w:rPr>
          <w:rFonts w:cs="Calibri"/>
        </w:rPr>
        <w:t>9</w:t>
      </w:r>
      <w:r w:rsidRPr="00F76E29">
        <w:rPr>
          <w:rFonts w:cs="Calibri"/>
        </w:rPr>
        <w:t>.</w:t>
      </w:r>
    </w:p>
    <w:p w14:paraId="03F5DC61" w14:textId="4782EC80" w:rsidR="007F23BC" w:rsidRPr="00F76E29" w:rsidRDefault="007F23BC" w:rsidP="00E57EC0">
      <w:pPr>
        <w:pStyle w:val="ListParagraph"/>
        <w:numPr>
          <w:ilvl w:val="0"/>
          <w:numId w:val="21"/>
        </w:numPr>
        <w:spacing w:before="120" w:after="0" w:line="276" w:lineRule="auto"/>
        <w:contextualSpacing w:val="0"/>
        <w:jc w:val="both"/>
        <w:rPr>
          <w:rFonts w:cs="Calibri"/>
        </w:rPr>
      </w:pPr>
      <w:r w:rsidRPr="00F76E29">
        <w:rPr>
          <w:rFonts w:cs="Calibri"/>
        </w:rPr>
        <w:t xml:space="preserve">Total </w:t>
      </w:r>
      <w:r w:rsidR="00C75F0D" w:rsidRPr="00F76E29">
        <w:rPr>
          <w:rFonts w:cs="Calibri"/>
        </w:rPr>
        <w:t>deposits were</w:t>
      </w:r>
      <w:r w:rsidRPr="00F76E29">
        <w:rPr>
          <w:rFonts w:cs="Calibri"/>
        </w:rPr>
        <w:t xml:space="preserve"> $</w:t>
      </w:r>
      <w:r w:rsidR="00372242">
        <w:rPr>
          <w:rFonts w:cs="Calibri"/>
        </w:rPr>
        <w:t>510</w:t>
      </w:r>
      <w:r w:rsidRPr="00F76E29">
        <w:rPr>
          <w:rFonts w:cs="Calibri"/>
        </w:rPr>
        <w:t>.</w:t>
      </w:r>
      <w:r w:rsidR="00372242">
        <w:rPr>
          <w:rFonts w:cs="Calibri"/>
        </w:rPr>
        <w:t>8</w:t>
      </w:r>
      <w:r w:rsidRPr="00F76E29">
        <w:rPr>
          <w:rFonts w:cs="Calibri"/>
        </w:rPr>
        <w:t xml:space="preserve"> million, </w:t>
      </w:r>
      <w:r w:rsidR="00372242">
        <w:rPr>
          <w:rFonts w:cs="Calibri"/>
        </w:rPr>
        <w:t>in</w:t>
      </w:r>
      <w:r w:rsidRPr="00F76E29">
        <w:rPr>
          <w:rFonts w:cs="Calibri"/>
        </w:rPr>
        <w:t>creasing $</w:t>
      </w:r>
      <w:r w:rsidR="00372242">
        <w:rPr>
          <w:rFonts w:cs="Calibri"/>
        </w:rPr>
        <w:t>13</w:t>
      </w:r>
      <w:r w:rsidRPr="00F76E29">
        <w:rPr>
          <w:rFonts w:cs="Calibri"/>
        </w:rPr>
        <w:t>.</w:t>
      </w:r>
      <w:r w:rsidR="00372242">
        <w:rPr>
          <w:rFonts w:cs="Calibri"/>
        </w:rPr>
        <w:t>1</w:t>
      </w:r>
      <w:r w:rsidRPr="00F76E29">
        <w:rPr>
          <w:rFonts w:cs="Calibri"/>
        </w:rPr>
        <w:t xml:space="preserve"> million, or </w:t>
      </w:r>
      <w:r w:rsidR="00372242">
        <w:rPr>
          <w:rFonts w:cs="Calibri"/>
        </w:rPr>
        <w:t>2</w:t>
      </w:r>
      <w:r w:rsidRPr="00F76E29">
        <w:rPr>
          <w:rFonts w:cs="Calibri"/>
        </w:rPr>
        <w:t>.</w:t>
      </w:r>
      <w:r w:rsidR="00372242">
        <w:rPr>
          <w:rFonts w:cs="Calibri"/>
        </w:rPr>
        <w:t>6</w:t>
      </w:r>
      <w:r w:rsidRPr="00F76E29">
        <w:rPr>
          <w:rFonts w:cs="Calibri"/>
        </w:rPr>
        <w:t xml:space="preserve">%, during the </w:t>
      </w:r>
      <w:r w:rsidR="00372242">
        <w:rPr>
          <w:rFonts w:cs="Calibri"/>
        </w:rPr>
        <w:t>nine</w:t>
      </w:r>
      <w:r w:rsidRPr="00F76E29">
        <w:rPr>
          <w:rFonts w:cs="Calibri"/>
        </w:rPr>
        <w:t xml:space="preserve"> months </w:t>
      </w:r>
      <w:r w:rsidR="00E012E3" w:rsidRPr="00F76E29">
        <w:rPr>
          <w:rFonts w:cs="Calibri"/>
        </w:rPr>
        <w:t>e</w:t>
      </w:r>
      <w:r w:rsidRPr="00F76E29">
        <w:rPr>
          <w:rFonts w:cs="Calibri"/>
        </w:rPr>
        <w:t>nded</w:t>
      </w:r>
      <w:r w:rsidR="00E012E3" w:rsidRPr="00F76E29">
        <w:rPr>
          <w:rFonts w:cs="Calibri"/>
        </w:rPr>
        <w:t xml:space="preserve"> </w:t>
      </w:r>
      <w:r w:rsidR="00372242">
        <w:rPr>
          <w:rFonts w:cs="Calibri"/>
        </w:rPr>
        <w:t>September</w:t>
      </w:r>
      <w:r w:rsidR="00E012E3" w:rsidRPr="00F76E29">
        <w:rPr>
          <w:rFonts w:cs="Calibri"/>
        </w:rPr>
        <w:t xml:space="preserve"> 3</w:t>
      </w:r>
      <w:r w:rsidR="00253701">
        <w:rPr>
          <w:rFonts w:cs="Calibri"/>
        </w:rPr>
        <w:t>0</w:t>
      </w:r>
      <w:r w:rsidR="00E012E3" w:rsidRPr="00F76E29">
        <w:rPr>
          <w:rFonts w:cs="Calibri"/>
        </w:rPr>
        <w:t>, 2020</w:t>
      </w:r>
      <w:r w:rsidRPr="00F76E29">
        <w:rPr>
          <w:rFonts w:cs="Calibri"/>
        </w:rPr>
        <w:t xml:space="preserve">. </w:t>
      </w:r>
    </w:p>
    <w:p w14:paraId="0A142785" w14:textId="004FB89C" w:rsidR="007F23BC" w:rsidRPr="00F76E29" w:rsidRDefault="007F23BC" w:rsidP="00E57EC0">
      <w:pPr>
        <w:pStyle w:val="ListParagraph"/>
        <w:numPr>
          <w:ilvl w:val="0"/>
          <w:numId w:val="21"/>
        </w:numPr>
        <w:spacing w:before="120" w:after="0" w:line="276" w:lineRule="auto"/>
        <w:contextualSpacing w:val="0"/>
        <w:jc w:val="both"/>
        <w:rPr>
          <w:rFonts w:cs="Calibri"/>
        </w:rPr>
      </w:pPr>
      <w:r w:rsidRPr="00F76E29">
        <w:rPr>
          <w:rFonts w:cs="Calibri"/>
        </w:rPr>
        <w:t>Return on average assets was 0.</w:t>
      </w:r>
      <w:r w:rsidR="00372242">
        <w:rPr>
          <w:rFonts w:cs="Calibri"/>
        </w:rPr>
        <w:t>19</w:t>
      </w:r>
      <w:r w:rsidR="00296E4E" w:rsidRPr="00F76E29">
        <w:rPr>
          <w:rFonts w:cs="Calibri"/>
        </w:rPr>
        <w:t>%</w:t>
      </w:r>
      <w:r w:rsidRPr="00F76E29">
        <w:rPr>
          <w:rFonts w:cs="Calibri"/>
        </w:rPr>
        <w:t xml:space="preserve"> for the </w:t>
      </w:r>
      <w:r w:rsidR="00372242">
        <w:rPr>
          <w:rFonts w:cs="Calibri"/>
        </w:rPr>
        <w:t>nine</w:t>
      </w:r>
      <w:r w:rsidR="004E2293" w:rsidRPr="00F76E29">
        <w:rPr>
          <w:rFonts w:cs="Calibri"/>
        </w:rPr>
        <w:t>-</w:t>
      </w:r>
      <w:r w:rsidRPr="00F76E29">
        <w:rPr>
          <w:rFonts w:cs="Calibri"/>
        </w:rPr>
        <w:t xml:space="preserve">month period </w:t>
      </w:r>
      <w:r w:rsidR="00663959" w:rsidRPr="00F76E29">
        <w:rPr>
          <w:rFonts w:cs="Calibri"/>
        </w:rPr>
        <w:t xml:space="preserve">ended </w:t>
      </w:r>
      <w:r w:rsidR="00372242">
        <w:rPr>
          <w:rFonts w:cs="Calibri"/>
        </w:rPr>
        <w:t>September</w:t>
      </w:r>
      <w:r w:rsidR="00663959" w:rsidRPr="00F76E29">
        <w:rPr>
          <w:rFonts w:cs="Calibri"/>
        </w:rPr>
        <w:t xml:space="preserve"> 3</w:t>
      </w:r>
      <w:r w:rsidR="00253701">
        <w:rPr>
          <w:rFonts w:cs="Calibri"/>
        </w:rPr>
        <w:t>0</w:t>
      </w:r>
      <w:r w:rsidR="00663959" w:rsidRPr="00F76E29">
        <w:rPr>
          <w:rFonts w:cs="Calibri"/>
        </w:rPr>
        <w:t xml:space="preserve">, 2020 </w:t>
      </w:r>
      <w:r w:rsidRPr="00F76E29">
        <w:rPr>
          <w:rFonts w:cs="Calibri"/>
        </w:rPr>
        <w:t>compared to 0.</w:t>
      </w:r>
      <w:r w:rsidR="00372242">
        <w:rPr>
          <w:rFonts w:cs="Calibri"/>
        </w:rPr>
        <w:t>2</w:t>
      </w:r>
      <w:r w:rsidR="00C21036">
        <w:rPr>
          <w:rFonts w:cs="Calibri"/>
        </w:rPr>
        <w:t>5</w:t>
      </w:r>
      <w:r w:rsidRPr="00F76E29">
        <w:rPr>
          <w:rFonts w:cs="Calibri"/>
        </w:rPr>
        <w:t>% for the corresponding period of 201</w:t>
      </w:r>
      <w:r w:rsidR="00A03992" w:rsidRPr="00F76E29">
        <w:rPr>
          <w:rFonts w:cs="Calibri"/>
        </w:rPr>
        <w:t>9</w:t>
      </w:r>
      <w:r w:rsidRPr="00F76E29">
        <w:rPr>
          <w:rFonts w:cs="Calibri"/>
        </w:rPr>
        <w:t xml:space="preserve">. </w:t>
      </w:r>
      <w:r w:rsidR="00A03992" w:rsidRPr="00F76E29">
        <w:rPr>
          <w:rFonts w:cs="Calibri"/>
        </w:rPr>
        <w:t xml:space="preserve">Without the </w:t>
      </w:r>
      <w:r w:rsidR="00663959" w:rsidRPr="00F76E29">
        <w:rPr>
          <w:rFonts w:cs="Calibri"/>
        </w:rPr>
        <w:t>c</w:t>
      </w:r>
      <w:r w:rsidR="00A03992" w:rsidRPr="00F76E29">
        <w:rPr>
          <w:rFonts w:cs="Calibri"/>
        </w:rPr>
        <w:t xml:space="preserve">haritable </w:t>
      </w:r>
      <w:r w:rsidR="00663959" w:rsidRPr="00F76E29">
        <w:rPr>
          <w:rFonts w:cs="Calibri"/>
        </w:rPr>
        <w:t>f</w:t>
      </w:r>
      <w:r w:rsidR="00A03992" w:rsidRPr="00F76E29">
        <w:rPr>
          <w:rFonts w:cs="Calibri"/>
        </w:rPr>
        <w:t xml:space="preserve">oundation </w:t>
      </w:r>
      <w:r w:rsidR="00BA01F0" w:rsidRPr="00F76E29">
        <w:rPr>
          <w:rFonts w:cs="Calibri"/>
        </w:rPr>
        <w:t>contribution,</w:t>
      </w:r>
      <w:r w:rsidR="00A03992" w:rsidRPr="00F76E29">
        <w:rPr>
          <w:rFonts w:cs="Calibri"/>
        </w:rPr>
        <w:t xml:space="preserve"> the return on average assets </w:t>
      </w:r>
      <w:r w:rsidR="00663959" w:rsidRPr="00F76E29">
        <w:rPr>
          <w:rFonts w:cs="Calibri"/>
        </w:rPr>
        <w:t>would have been</w:t>
      </w:r>
      <w:r w:rsidR="00A03992" w:rsidRPr="00F76E29">
        <w:rPr>
          <w:rFonts w:cs="Calibri"/>
        </w:rPr>
        <w:t xml:space="preserve"> </w:t>
      </w:r>
      <w:r w:rsidR="00C667E2">
        <w:rPr>
          <w:rFonts w:cs="Calibri"/>
        </w:rPr>
        <w:t>0</w:t>
      </w:r>
      <w:r w:rsidR="00A03992" w:rsidRPr="00F76E29">
        <w:rPr>
          <w:rFonts w:cs="Calibri"/>
        </w:rPr>
        <w:t>.</w:t>
      </w:r>
      <w:r w:rsidR="00372242">
        <w:rPr>
          <w:rFonts w:cs="Calibri"/>
        </w:rPr>
        <w:t>55</w:t>
      </w:r>
      <w:r w:rsidR="00ED303F" w:rsidRPr="00F76E29">
        <w:rPr>
          <w:rFonts w:cs="Calibri"/>
        </w:rPr>
        <w:t xml:space="preserve">% for the </w:t>
      </w:r>
      <w:r w:rsidR="00372242">
        <w:rPr>
          <w:rFonts w:cs="Calibri"/>
        </w:rPr>
        <w:t>nine</w:t>
      </w:r>
      <w:r w:rsidR="00ED303F" w:rsidRPr="00F76E29">
        <w:rPr>
          <w:rFonts w:cs="Calibri"/>
        </w:rPr>
        <w:t xml:space="preserve">-month period ended </w:t>
      </w:r>
      <w:r w:rsidR="00372242">
        <w:rPr>
          <w:rFonts w:cs="Calibri"/>
        </w:rPr>
        <w:t>September</w:t>
      </w:r>
      <w:r w:rsidR="00ED303F" w:rsidRPr="00F76E29">
        <w:rPr>
          <w:rFonts w:cs="Calibri"/>
        </w:rPr>
        <w:t xml:space="preserve"> 3</w:t>
      </w:r>
      <w:r w:rsidR="00253701">
        <w:rPr>
          <w:rFonts w:cs="Calibri"/>
        </w:rPr>
        <w:t>0</w:t>
      </w:r>
      <w:r w:rsidR="00ED303F" w:rsidRPr="00F76E29">
        <w:rPr>
          <w:rFonts w:cs="Calibri"/>
        </w:rPr>
        <w:t>, 2020.</w:t>
      </w:r>
    </w:p>
    <w:p w14:paraId="423CC839" w14:textId="393E83B2" w:rsidR="00BA01F0" w:rsidRPr="00F76E29" w:rsidRDefault="007F23BC" w:rsidP="00E57EC0">
      <w:pPr>
        <w:pStyle w:val="ListParagraph"/>
        <w:numPr>
          <w:ilvl w:val="0"/>
          <w:numId w:val="21"/>
        </w:numPr>
        <w:spacing w:before="120" w:after="0" w:line="276" w:lineRule="auto"/>
        <w:contextualSpacing w:val="0"/>
        <w:jc w:val="both"/>
        <w:rPr>
          <w:rFonts w:cs="Calibri"/>
        </w:rPr>
      </w:pPr>
      <w:r w:rsidRPr="00F76E29">
        <w:rPr>
          <w:rFonts w:cs="Calibri"/>
        </w:rPr>
        <w:t xml:space="preserve">Return on average equity was </w:t>
      </w:r>
      <w:r w:rsidR="00372242">
        <w:rPr>
          <w:rFonts w:cs="Calibri"/>
        </w:rPr>
        <w:t>1</w:t>
      </w:r>
      <w:r w:rsidRPr="00F76E29">
        <w:rPr>
          <w:rFonts w:cs="Calibri"/>
        </w:rPr>
        <w:t>.</w:t>
      </w:r>
      <w:r w:rsidR="00372242">
        <w:rPr>
          <w:rFonts w:cs="Calibri"/>
        </w:rPr>
        <w:t>11</w:t>
      </w:r>
      <w:r w:rsidR="001D637A">
        <w:rPr>
          <w:rFonts w:cs="Calibri"/>
        </w:rPr>
        <w:t>%</w:t>
      </w:r>
      <w:r w:rsidRPr="00F76E29">
        <w:rPr>
          <w:rFonts w:cs="Calibri"/>
        </w:rPr>
        <w:t xml:space="preserve"> for the </w:t>
      </w:r>
      <w:r w:rsidR="00372242">
        <w:rPr>
          <w:rFonts w:cs="Calibri"/>
        </w:rPr>
        <w:t>nine</w:t>
      </w:r>
      <w:r w:rsidR="00BA01F0" w:rsidRPr="00F76E29">
        <w:rPr>
          <w:rFonts w:cs="Calibri"/>
        </w:rPr>
        <w:t>-month period</w:t>
      </w:r>
      <w:r w:rsidR="009D4D8C">
        <w:rPr>
          <w:rFonts w:cs="Calibri"/>
        </w:rPr>
        <w:t xml:space="preserve"> ended </w:t>
      </w:r>
      <w:r w:rsidR="00372242">
        <w:rPr>
          <w:rFonts w:cs="Calibri"/>
        </w:rPr>
        <w:t>September</w:t>
      </w:r>
      <w:r w:rsidR="009D4D8C">
        <w:rPr>
          <w:rFonts w:cs="Calibri"/>
        </w:rPr>
        <w:t xml:space="preserve"> 30, 2020</w:t>
      </w:r>
      <w:r w:rsidRPr="00F76E29">
        <w:rPr>
          <w:rFonts w:cs="Calibri"/>
        </w:rPr>
        <w:t xml:space="preserve"> compared to </w:t>
      </w:r>
      <w:r w:rsidR="00372242">
        <w:rPr>
          <w:rFonts w:cs="Calibri"/>
        </w:rPr>
        <w:t>2</w:t>
      </w:r>
      <w:r w:rsidRPr="00F76E29">
        <w:rPr>
          <w:rFonts w:cs="Calibri"/>
        </w:rPr>
        <w:t>.</w:t>
      </w:r>
      <w:r w:rsidR="00C21036">
        <w:rPr>
          <w:rFonts w:cs="Calibri"/>
        </w:rPr>
        <w:t>25</w:t>
      </w:r>
      <w:r w:rsidRPr="00F76E29">
        <w:rPr>
          <w:rFonts w:cs="Calibri"/>
        </w:rPr>
        <w:t>% for the same period of 201</w:t>
      </w:r>
      <w:r w:rsidR="00BA01F0" w:rsidRPr="00F76E29">
        <w:rPr>
          <w:rFonts w:cs="Calibri"/>
        </w:rPr>
        <w:t>9</w:t>
      </w:r>
      <w:r w:rsidRPr="00F76E29">
        <w:rPr>
          <w:rFonts w:cs="Calibri"/>
        </w:rPr>
        <w:t xml:space="preserve">. </w:t>
      </w:r>
      <w:r w:rsidR="00BA01F0" w:rsidRPr="00F76E29">
        <w:rPr>
          <w:rFonts w:cs="Calibri"/>
        </w:rPr>
        <w:t xml:space="preserve">Without the </w:t>
      </w:r>
      <w:r w:rsidR="00663959" w:rsidRPr="00F76E29">
        <w:rPr>
          <w:rFonts w:cs="Calibri"/>
        </w:rPr>
        <w:t>c</w:t>
      </w:r>
      <w:r w:rsidR="00BA01F0" w:rsidRPr="00F76E29">
        <w:rPr>
          <w:rFonts w:cs="Calibri"/>
        </w:rPr>
        <w:t xml:space="preserve">haritable </w:t>
      </w:r>
      <w:r w:rsidR="00663959" w:rsidRPr="00F76E29">
        <w:rPr>
          <w:rFonts w:cs="Calibri"/>
        </w:rPr>
        <w:t>f</w:t>
      </w:r>
      <w:r w:rsidR="00BA01F0" w:rsidRPr="00F76E29">
        <w:rPr>
          <w:rFonts w:cs="Calibri"/>
        </w:rPr>
        <w:t xml:space="preserve">oundation contribution, the return on average equity </w:t>
      </w:r>
      <w:r w:rsidR="00681A0B" w:rsidRPr="00F76E29">
        <w:rPr>
          <w:rFonts w:cs="Calibri"/>
        </w:rPr>
        <w:t>would have been</w:t>
      </w:r>
      <w:r w:rsidR="00BA01F0" w:rsidRPr="00F76E29">
        <w:rPr>
          <w:rFonts w:cs="Calibri"/>
        </w:rPr>
        <w:t xml:space="preserve"> </w:t>
      </w:r>
      <w:r w:rsidR="00372242">
        <w:rPr>
          <w:rFonts w:cs="Calibri"/>
        </w:rPr>
        <w:t>3</w:t>
      </w:r>
      <w:r w:rsidR="00BA01F0" w:rsidRPr="00F76E29">
        <w:rPr>
          <w:rFonts w:cs="Calibri"/>
        </w:rPr>
        <w:t>.</w:t>
      </w:r>
      <w:r w:rsidR="00372242">
        <w:rPr>
          <w:rFonts w:cs="Calibri"/>
        </w:rPr>
        <w:t>25</w:t>
      </w:r>
      <w:r w:rsidR="00BA01F0" w:rsidRPr="00F76E29">
        <w:rPr>
          <w:rFonts w:cs="Calibri"/>
        </w:rPr>
        <w:t xml:space="preserve">% for the </w:t>
      </w:r>
      <w:r w:rsidR="00372242">
        <w:rPr>
          <w:rFonts w:cs="Calibri"/>
        </w:rPr>
        <w:t>nine</w:t>
      </w:r>
      <w:r w:rsidR="00BA01F0" w:rsidRPr="00F76E29">
        <w:rPr>
          <w:rFonts w:cs="Calibri"/>
        </w:rPr>
        <w:t>-month period</w:t>
      </w:r>
      <w:r w:rsidR="00ED303F" w:rsidRPr="00F76E29">
        <w:rPr>
          <w:rFonts w:cs="Calibri"/>
        </w:rPr>
        <w:t xml:space="preserve"> ended </w:t>
      </w:r>
      <w:r w:rsidR="00372242">
        <w:rPr>
          <w:rFonts w:cs="Calibri"/>
        </w:rPr>
        <w:t>September</w:t>
      </w:r>
      <w:r w:rsidR="00ED303F" w:rsidRPr="00F76E29">
        <w:rPr>
          <w:rFonts w:cs="Calibri"/>
        </w:rPr>
        <w:t xml:space="preserve"> 3</w:t>
      </w:r>
      <w:r w:rsidR="00E55828">
        <w:rPr>
          <w:rFonts w:cs="Calibri"/>
        </w:rPr>
        <w:t>0</w:t>
      </w:r>
      <w:r w:rsidR="00ED303F" w:rsidRPr="00F76E29">
        <w:rPr>
          <w:rFonts w:cs="Calibri"/>
        </w:rPr>
        <w:t>, 2020</w:t>
      </w:r>
      <w:r w:rsidR="00BA01F0" w:rsidRPr="00F76E29">
        <w:rPr>
          <w:rFonts w:cs="Calibri"/>
        </w:rPr>
        <w:t>.</w:t>
      </w:r>
    </w:p>
    <w:p w14:paraId="30DA014F" w14:textId="2DAE52CA" w:rsidR="00C75F0D" w:rsidRPr="00F76E29" w:rsidRDefault="00C75F0D" w:rsidP="00E57EC0">
      <w:pPr>
        <w:spacing w:before="200" w:after="200"/>
        <w:jc w:val="both"/>
        <w:rPr>
          <w:rFonts w:asciiTheme="minorHAnsi" w:hAnsiTheme="minorHAnsi"/>
        </w:rPr>
      </w:pPr>
      <w:r w:rsidRPr="00F76E29">
        <w:rPr>
          <w:rFonts w:asciiTheme="minorHAnsi" w:hAnsiTheme="minorHAnsi"/>
        </w:rPr>
        <w:lastRenderedPageBreak/>
        <w:t xml:space="preserve">As a qualified Small Business Administration lender, we were automatically authorized to originate loans under the </w:t>
      </w:r>
      <w:r w:rsidRPr="00F76E29">
        <w:rPr>
          <w:rFonts w:asciiTheme="minorHAnsi" w:hAnsiTheme="minorHAnsi" w:cs="Calibri"/>
        </w:rPr>
        <w:t>Paycheck Protection Program (</w:t>
      </w:r>
      <w:r w:rsidR="008B6EB9" w:rsidRPr="00F76E29">
        <w:rPr>
          <w:rFonts w:asciiTheme="minorHAnsi" w:hAnsiTheme="minorHAnsi" w:cs="Calibri"/>
        </w:rPr>
        <w:t>“</w:t>
      </w:r>
      <w:r w:rsidRPr="00F76E29">
        <w:rPr>
          <w:rFonts w:asciiTheme="minorHAnsi" w:hAnsiTheme="minorHAnsi" w:cs="Calibri"/>
        </w:rPr>
        <w:t>PPP</w:t>
      </w:r>
      <w:r w:rsidR="008B6EB9" w:rsidRPr="00F76E29">
        <w:rPr>
          <w:rFonts w:asciiTheme="minorHAnsi" w:hAnsiTheme="minorHAnsi" w:cs="Calibri"/>
        </w:rPr>
        <w:t>”</w:t>
      </w:r>
      <w:r w:rsidRPr="00F76E29">
        <w:rPr>
          <w:rFonts w:asciiTheme="minorHAnsi" w:hAnsiTheme="minorHAnsi" w:cs="Calibri"/>
        </w:rPr>
        <w:t>)</w:t>
      </w:r>
      <w:r w:rsidRPr="00F76E29">
        <w:rPr>
          <w:rFonts w:asciiTheme="minorHAnsi" w:hAnsiTheme="minorHAnsi"/>
        </w:rPr>
        <w:t xml:space="preserve">. As of </w:t>
      </w:r>
      <w:r w:rsidR="00372242">
        <w:rPr>
          <w:rFonts w:asciiTheme="minorHAnsi" w:hAnsiTheme="minorHAnsi"/>
        </w:rPr>
        <w:t>September</w:t>
      </w:r>
      <w:r w:rsidRPr="00F76E29">
        <w:rPr>
          <w:rFonts w:asciiTheme="minorHAnsi" w:hAnsiTheme="minorHAnsi"/>
        </w:rPr>
        <w:t xml:space="preserve"> </w:t>
      </w:r>
      <w:r w:rsidR="00BA0D0B" w:rsidRPr="00F76E29">
        <w:rPr>
          <w:rFonts w:asciiTheme="minorHAnsi" w:hAnsiTheme="minorHAnsi"/>
        </w:rPr>
        <w:t>30</w:t>
      </w:r>
      <w:r w:rsidRPr="00F76E29">
        <w:rPr>
          <w:rFonts w:asciiTheme="minorHAnsi" w:hAnsiTheme="minorHAnsi"/>
        </w:rPr>
        <w:t xml:space="preserve">, 2020, we have received and processed </w:t>
      </w:r>
      <w:r w:rsidR="00333E04">
        <w:rPr>
          <w:rFonts w:asciiTheme="minorHAnsi" w:hAnsiTheme="minorHAnsi"/>
        </w:rPr>
        <w:t>113</w:t>
      </w:r>
      <w:r w:rsidRPr="00F76E29">
        <w:rPr>
          <w:rFonts w:asciiTheme="minorHAnsi" w:hAnsiTheme="minorHAnsi"/>
        </w:rPr>
        <w:t xml:space="preserve"> PPP applications totaling approximately $</w:t>
      </w:r>
      <w:r w:rsidR="00333E04">
        <w:rPr>
          <w:rFonts w:asciiTheme="minorHAnsi" w:hAnsiTheme="minorHAnsi"/>
        </w:rPr>
        <w:t>10</w:t>
      </w:r>
      <w:r w:rsidR="00B463B4" w:rsidRPr="00F76E29">
        <w:rPr>
          <w:rFonts w:asciiTheme="minorHAnsi" w:hAnsiTheme="minorHAnsi"/>
        </w:rPr>
        <w:t>.</w:t>
      </w:r>
      <w:r w:rsidR="00333E04">
        <w:rPr>
          <w:rFonts w:asciiTheme="minorHAnsi" w:hAnsiTheme="minorHAnsi"/>
        </w:rPr>
        <w:t>5</w:t>
      </w:r>
      <w:r w:rsidRPr="00F76E29">
        <w:rPr>
          <w:rFonts w:asciiTheme="minorHAnsi" w:hAnsiTheme="minorHAnsi"/>
        </w:rPr>
        <w:t xml:space="preserve"> million.</w:t>
      </w:r>
    </w:p>
    <w:p w14:paraId="2EF9E439" w14:textId="77777777" w:rsidR="00351939" w:rsidRPr="00351939" w:rsidRDefault="00351939" w:rsidP="00F76E29">
      <w:pPr>
        <w:spacing w:after="200"/>
        <w:jc w:val="both"/>
        <w:rPr>
          <w:rFonts w:asciiTheme="minorHAnsi" w:hAnsiTheme="minorHAnsi"/>
          <w:b/>
        </w:rPr>
      </w:pPr>
      <w:r w:rsidRPr="00351939">
        <w:rPr>
          <w:rFonts w:asciiTheme="minorHAnsi" w:hAnsiTheme="minorHAnsi"/>
          <w:b/>
        </w:rPr>
        <w:t>COVID</w:t>
      </w:r>
    </w:p>
    <w:p w14:paraId="3E4DC844" w14:textId="1168EB58" w:rsidR="00C667E2" w:rsidRDefault="00C75F0D" w:rsidP="00F76E29">
      <w:pPr>
        <w:spacing w:after="200"/>
        <w:jc w:val="both"/>
        <w:rPr>
          <w:rFonts w:asciiTheme="minorHAnsi" w:hAnsiTheme="minorHAnsi"/>
        </w:rPr>
      </w:pPr>
      <w:r w:rsidRPr="00F76E29">
        <w:rPr>
          <w:rFonts w:asciiTheme="minorHAnsi" w:hAnsiTheme="minorHAnsi"/>
        </w:rPr>
        <w:t xml:space="preserve">We are also providing assistance to individuals and small business clients directly impacted by the COVID-19 pandemic by allowing borrowers to modify their loans.  </w:t>
      </w:r>
      <w:r w:rsidR="00D04FCB">
        <w:rPr>
          <w:rFonts w:asciiTheme="minorHAnsi" w:hAnsiTheme="minorHAnsi"/>
        </w:rPr>
        <w:t>Through</w:t>
      </w:r>
      <w:r w:rsidRPr="00F76E29">
        <w:rPr>
          <w:rFonts w:asciiTheme="minorHAnsi" w:hAnsiTheme="minorHAnsi"/>
        </w:rPr>
        <w:t xml:space="preserve"> </w:t>
      </w:r>
      <w:r w:rsidR="00372242">
        <w:rPr>
          <w:rFonts w:asciiTheme="minorHAnsi" w:hAnsiTheme="minorHAnsi"/>
        </w:rPr>
        <w:t>September</w:t>
      </w:r>
      <w:r w:rsidRPr="00F76E29">
        <w:rPr>
          <w:rFonts w:asciiTheme="minorHAnsi" w:hAnsiTheme="minorHAnsi"/>
        </w:rPr>
        <w:t xml:space="preserve"> </w:t>
      </w:r>
      <w:r w:rsidR="00B463B4" w:rsidRPr="00F76E29">
        <w:rPr>
          <w:rFonts w:asciiTheme="minorHAnsi" w:hAnsiTheme="minorHAnsi"/>
        </w:rPr>
        <w:t>30</w:t>
      </w:r>
      <w:r w:rsidRPr="00F76E29">
        <w:rPr>
          <w:rFonts w:asciiTheme="minorHAnsi" w:hAnsiTheme="minorHAnsi"/>
        </w:rPr>
        <w:t xml:space="preserve">, 2020, </w:t>
      </w:r>
      <w:r w:rsidR="00D04FCB">
        <w:rPr>
          <w:rFonts w:asciiTheme="minorHAnsi" w:hAnsiTheme="minorHAnsi"/>
        </w:rPr>
        <w:t xml:space="preserve">the Company granted </w:t>
      </w:r>
      <w:r w:rsidR="00C667E2">
        <w:rPr>
          <w:rFonts w:asciiTheme="minorHAnsi" w:hAnsiTheme="minorHAnsi"/>
        </w:rPr>
        <w:t xml:space="preserve">172 loan modifications totaling </w:t>
      </w:r>
      <w:r w:rsidR="00D04FCB">
        <w:rPr>
          <w:rFonts w:asciiTheme="minorHAnsi" w:hAnsiTheme="minorHAnsi"/>
        </w:rPr>
        <w:t>$6</w:t>
      </w:r>
      <w:r w:rsidR="000A3D64">
        <w:rPr>
          <w:rFonts w:asciiTheme="minorHAnsi" w:hAnsiTheme="minorHAnsi"/>
        </w:rPr>
        <w:t>7</w:t>
      </w:r>
      <w:r w:rsidR="00D04FCB">
        <w:rPr>
          <w:rFonts w:asciiTheme="minorHAnsi" w:hAnsiTheme="minorHAnsi"/>
        </w:rPr>
        <w:t>.</w:t>
      </w:r>
      <w:r w:rsidR="000A3D64">
        <w:rPr>
          <w:rFonts w:asciiTheme="minorHAnsi" w:hAnsiTheme="minorHAnsi"/>
        </w:rPr>
        <w:t>9</w:t>
      </w:r>
      <w:r w:rsidR="00D04FCB">
        <w:rPr>
          <w:rFonts w:asciiTheme="minorHAnsi" w:hAnsiTheme="minorHAnsi"/>
        </w:rPr>
        <w:t xml:space="preserve"> </w:t>
      </w:r>
      <w:r w:rsidR="003E00BC">
        <w:rPr>
          <w:rFonts w:asciiTheme="minorHAnsi" w:hAnsiTheme="minorHAnsi"/>
        </w:rPr>
        <w:t xml:space="preserve">million </w:t>
      </w:r>
      <w:r w:rsidR="003E00BC" w:rsidRPr="00F76E29">
        <w:rPr>
          <w:rFonts w:asciiTheme="minorHAnsi" w:hAnsiTheme="minorHAnsi"/>
        </w:rPr>
        <w:t>which</w:t>
      </w:r>
      <w:r w:rsidR="00D04FCB">
        <w:rPr>
          <w:rFonts w:asciiTheme="minorHAnsi" w:hAnsiTheme="minorHAnsi"/>
        </w:rPr>
        <w:t xml:space="preserve"> represented</w:t>
      </w:r>
      <w:r w:rsidRPr="00F76E29">
        <w:rPr>
          <w:rFonts w:asciiTheme="minorHAnsi" w:hAnsiTheme="minorHAnsi"/>
        </w:rPr>
        <w:t xml:space="preserve"> </w:t>
      </w:r>
      <w:r w:rsidR="00333E04">
        <w:rPr>
          <w:rFonts w:asciiTheme="minorHAnsi" w:hAnsiTheme="minorHAnsi"/>
        </w:rPr>
        <w:t>1</w:t>
      </w:r>
      <w:r w:rsidR="000A3D64">
        <w:rPr>
          <w:rFonts w:asciiTheme="minorHAnsi" w:hAnsiTheme="minorHAnsi"/>
        </w:rPr>
        <w:t>1</w:t>
      </w:r>
      <w:r w:rsidR="00B463B4" w:rsidRPr="00F76E29">
        <w:rPr>
          <w:rFonts w:asciiTheme="minorHAnsi" w:hAnsiTheme="minorHAnsi"/>
        </w:rPr>
        <w:t>.</w:t>
      </w:r>
      <w:r w:rsidR="000A3D64">
        <w:rPr>
          <w:rFonts w:asciiTheme="minorHAnsi" w:hAnsiTheme="minorHAnsi"/>
        </w:rPr>
        <w:t>6</w:t>
      </w:r>
      <w:r w:rsidRPr="00F76E29">
        <w:rPr>
          <w:rFonts w:asciiTheme="minorHAnsi" w:hAnsiTheme="minorHAnsi"/>
        </w:rPr>
        <w:t xml:space="preserve">% of the total loan portfolio allowing </w:t>
      </w:r>
      <w:r w:rsidR="009D4D8C">
        <w:rPr>
          <w:rFonts w:asciiTheme="minorHAnsi" w:hAnsiTheme="minorHAnsi"/>
        </w:rPr>
        <w:t>customers</w:t>
      </w:r>
      <w:r w:rsidRPr="00F76E29">
        <w:rPr>
          <w:rFonts w:asciiTheme="minorHAnsi" w:hAnsiTheme="minorHAnsi"/>
        </w:rPr>
        <w:t xml:space="preserve"> </w:t>
      </w:r>
      <w:r w:rsidR="00351939">
        <w:rPr>
          <w:rFonts w:asciiTheme="minorHAnsi" w:hAnsiTheme="minorHAnsi"/>
        </w:rPr>
        <w:t>who were affected by the COVID-19 pandemic</w:t>
      </w:r>
      <w:r w:rsidR="00351939" w:rsidRPr="00F76E29">
        <w:rPr>
          <w:rFonts w:asciiTheme="minorHAnsi" w:hAnsiTheme="minorHAnsi"/>
        </w:rPr>
        <w:t xml:space="preserve"> </w:t>
      </w:r>
      <w:r w:rsidRPr="00F76E29">
        <w:rPr>
          <w:rFonts w:asciiTheme="minorHAnsi" w:hAnsiTheme="minorHAnsi"/>
        </w:rPr>
        <w:t xml:space="preserve">to </w:t>
      </w:r>
      <w:r w:rsidRPr="00F76E29">
        <w:rPr>
          <w:rFonts w:asciiTheme="minorHAnsi" w:hAnsiTheme="minorHAnsi"/>
          <w:bCs/>
        </w:rPr>
        <w:t>defer principal and/or interest payments</w:t>
      </w:r>
      <w:r w:rsidR="00351939">
        <w:rPr>
          <w:rFonts w:asciiTheme="minorHAnsi" w:hAnsiTheme="minorHAnsi"/>
        </w:rPr>
        <w:t xml:space="preserve">.  </w:t>
      </w:r>
      <w:r w:rsidR="00C667E2">
        <w:rPr>
          <w:rFonts w:asciiTheme="minorHAnsi" w:hAnsiTheme="minorHAnsi"/>
        </w:rPr>
        <w:t>O</w:t>
      </w:r>
      <w:r w:rsidR="00C667E2">
        <w:rPr>
          <w:rFonts w:asciiTheme="minorHAnsi" w:hAnsiTheme="minorHAnsi" w:cs="Calibri"/>
        </w:rPr>
        <w:t xml:space="preserve">f the 172 loans to which loan modifications </w:t>
      </w:r>
      <w:r w:rsidR="003E00BC">
        <w:rPr>
          <w:rFonts w:asciiTheme="minorHAnsi" w:hAnsiTheme="minorHAnsi" w:cs="Calibri"/>
        </w:rPr>
        <w:t>were granted</w:t>
      </w:r>
      <w:r w:rsidR="00C667E2">
        <w:rPr>
          <w:rFonts w:asciiTheme="minorHAnsi" w:hAnsiTheme="minorHAnsi" w:cs="Calibri"/>
        </w:rPr>
        <w:t xml:space="preserve"> only 25 loans have requested additional deferrals as of September 30, 2020.  The 25 loans still on deferral represents $7.9 million or 1.4% of net loans and all the loans are within the one-to-four family residential real estate portfolio. </w:t>
      </w:r>
    </w:p>
    <w:p w14:paraId="31B0B7FC" w14:textId="0B0A620B" w:rsidR="00351939" w:rsidRDefault="00351939" w:rsidP="00F76E29">
      <w:pPr>
        <w:spacing w:after="200"/>
        <w:jc w:val="both"/>
        <w:rPr>
          <w:rFonts w:asciiTheme="minorHAnsi" w:hAnsiTheme="minorHAnsi"/>
        </w:rPr>
      </w:pPr>
      <w:r w:rsidRPr="00351939">
        <w:rPr>
          <w:rFonts w:asciiTheme="minorHAnsi" w:hAnsiTheme="minorHAnsi"/>
        </w:rPr>
        <w:t>These short-term loan modifications will be treated in accordance with Section 4013 of the CARES Act and will not be treated as troubled debt restructurings during the short-term modification period if the loan was not in arrears at December 31, 2019. Furthermore, these loans w</w:t>
      </w:r>
      <w:r w:rsidR="00AC4312">
        <w:rPr>
          <w:rFonts w:asciiTheme="minorHAnsi" w:hAnsiTheme="minorHAnsi"/>
        </w:rPr>
        <w:t>ill continue to accrue interest</w:t>
      </w:r>
      <w:r w:rsidR="00F14B46">
        <w:rPr>
          <w:rFonts w:asciiTheme="minorHAnsi" w:hAnsiTheme="minorHAnsi"/>
        </w:rPr>
        <w:t>.</w:t>
      </w:r>
      <w:r w:rsidR="00AC4312">
        <w:rPr>
          <w:rFonts w:asciiTheme="minorHAnsi" w:hAnsiTheme="minorHAnsi"/>
        </w:rPr>
        <w:t xml:space="preserve"> </w:t>
      </w:r>
      <w:r w:rsidR="00F14B46">
        <w:rPr>
          <w:rFonts w:asciiTheme="minorHAnsi" w:hAnsiTheme="minorHAnsi"/>
        </w:rPr>
        <w:t>D</w:t>
      </w:r>
      <w:r w:rsidRPr="003F7440">
        <w:rPr>
          <w:rFonts w:asciiTheme="minorHAnsi" w:hAnsiTheme="minorHAnsi"/>
        </w:rPr>
        <w:t>etails with respect to actual loan modification</w:t>
      </w:r>
      <w:r w:rsidR="005A58C0">
        <w:rPr>
          <w:rFonts w:asciiTheme="minorHAnsi" w:hAnsiTheme="minorHAnsi"/>
        </w:rPr>
        <w:t>s</w:t>
      </w:r>
      <w:r w:rsidRPr="003F7440">
        <w:rPr>
          <w:rFonts w:asciiTheme="minorHAnsi" w:hAnsiTheme="minorHAnsi"/>
        </w:rPr>
        <w:t xml:space="preserve"> are as follows:</w:t>
      </w:r>
    </w:p>
    <w:sdt>
      <w:sdtPr>
        <w:alias w:val="AL-MDA_T1 - BSBK_Workbook"/>
        <w:tag w:val="f2d9b2de-f9ff-4dff-a3fe-1baa3bc0a3e6"/>
        <w:id w:val="748005900"/>
      </w:sdt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865"/>
            <w:gridCol w:w="139"/>
            <w:gridCol w:w="107"/>
            <w:gridCol w:w="718"/>
            <w:gridCol w:w="107"/>
            <w:gridCol w:w="139"/>
            <w:gridCol w:w="117"/>
            <w:gridCol w:w="1085"/>
            <w:gridCol w:w="107"/>
            <w:gridCol w:w="140"/>
            <w:gridCol w:w="108"/>
            <w:gridCol w:w="1089"/>
            <w:gridCol w:w="108"/>
            <w:gridCol w:w="140"/>
            <w:gridCol w:w="108"/>
            <w:gridCol w:w="719"/>
            <w:gridCol w:w="108"/>
            <w:gridCol w:w="140"/>
            <w:gridCol w:w="117"/>
            <w:gridCol w:w="1086"/>
            <w:gridCol w:w="108"/>
            <w:gridCol w:w="140"/>
            <w:gridCol w:w="108"/>
            <w:gridCol w:w="1089"/>
            <w:gridCol w:w="108"/>
          </w:tblGrid>
          <w:tr w:rsidR="008C2C37" w14:paraId="49ECCF19" w14:textId="77777777">
            <w:trPr>
              <w:cantSplit/>
            </w:trPr>
            <w:tc>
              <w:tcPr>
                <w:tcW w:w="1326" w:type="pct"/>
                <w:shd w:val="clear" w:color="auto" w:fill="FFFFFF"/>
                <w:tcMar>
                  <w:top w:w="15" w:type="dxa"/>
                  <w:left w:w="0" w:type="dxa"/>
                  <w:bottom w:w="0" w:type="dxa"/>
                  <w:right w:w="15" w:type="dxa"/>
                </w:tcMar>
                <w:vAlign w:val="bottom"/>
              </w:tcPr>
              <w:p w14:paraId="441E15A1" w14:textId="755DE27E" w:rsidR="008C2C37" w:rsidRDefault="008C2C37">
                <w:pPr>
                  <w:keepNext/>
                  <w:rPr>
                    <w:rFonts w:ascii="Calibri"/>
                    <w:color w:val="000000"/>
                  </w:rPr>
                </w:pPr>
                <w:r>
                  <w:t xml:space="preserve"> </w:t>
                </w:r>
                <w:r>
                  <w:rPr>
                    <w:rFonts w:ascii="Calibri"/>
                    <w:color w:val="000000"/>
                  </w:rPr>
                  <w:t xml:space="preserve"> </w:t>
                </w:r>
              </w:p>
            </w:tc>
            <w:tc>
              <w:tcPr>
                <w:tcW w:w="65" w:type="pct"/>
                <w:shd w:val="clear" w:color="auto" w:fill="FFFFFF"/>
                <w:tcMar>
                  <w:top w:w="15" w:type="dxa"/>
                  <w:left w:w="0" w:type="dxa"/>
                  <w:bottom w:w="0" w:type="dxa"/>
                  <w:right w:w="15" w:type="dxa"/>
                </w:tcMar>
                <w:vAlign w:val="bottom"/>
              </w:tcPr>
              <w:p w14:paraId="5130A8BD" w14:textId="77777777" w:rsidR="008C2C37" w:rsidRDefault="008C2C37">
                <w:pPr>
                  <w:rPr>
                    <w:rFonts w:ascii="Calibri"/>
                    <w:color w:val="000000"/>
                  </w:rPr>
                </w:pPr>
                <w:r>
                  <w:rPr>
                    <w:rFonts w:ascii="Calibri"/>
                    <w:color w:val="000000"/>
                  </w:rPr>
                  <w:t xml:space="preserve"> </w:t>
                </w:r>
              </w:p>
            </w:tc>
            <w:tc>
              <w:tcPr>
                <w:tcW w:w="1720" w:type="pct"/>
                <w:gridSpan w:val="10"/>
                <w:shd w:val="clear" w:color="auto" w:fill="FFFFFF"/>
                <w:tcMar>
                  <w:top w:w="15" w:type="dxa"/>
                  <w:left w:w="0" w:type="dxa"/>
                  <w:bottom w:w="0" w:type="dxa"/>
                  <w:right w:w="15" w:type="dxa"/>
                </w:tcMar>
                <w:vAlign w:val="bottom"/>
              </w:tcPr>
              <w:p w14:paraId="52C6400A" w14:textId="77777777" w:rsidR="008C2C37" w:rsidRDefault="008C2C37">
                <w:pPr>
                  <w:jc w:val="center"/>
                  <w:rPr>
                    <w:rFonts w:ascii="Calibri"/>
                    <w:color w:val="000000"/>
                  </w:rPr>
                </w:pPr>
                <w:r>
                  <w:rPr>
                    <w:rFonts w:ascii="Calibri"/>
                    <w:color w:val="000000"/>
                  </w:rPr>
                  <w:t>Original Loan Modifications</w:t>
                </w:r>
              </w:p>
            </w:tc>
            <w:tc>
              <w:tcPr>
                <w:tcW w:w="50" w:type="pct"/>
                <w:shd w:val="clear" w:color="auto" w:fill="FFFFFF"/>
                <w:noWrap/>
                <w:tcMar>
                  <w:top w:w="15" w:type="dxa"/>
                  <w:left w:w="0" w:type="dxa"/>
                  <w:bottom w:w="0" w:type="dxa"/>
                  <w:right w:w="15" w:type="dxa"/>
                </w:tcMar>
                <w:vAlign w:val="bottom"/>
              </w:tcPr>
              <w:p w14:paraId="1A939042" w14:textId="77777777" w:rsidR="008C2C37" w:rsidRDefault="008C2C37">
                <w:pPr>
                  <w:rPr>
                    <w:rFonts w:ascii="Calibri"/>
                    <w:color w:val="000000"/>
                  </w:rPr>
                </w:pPr>
                <w:r>
                  <w:rPr>
                    <w:rFonts w:ascii="Calibri"/>
                    <w:color w:val="000000"/>
                  </w:rPr>
                  <w:t xml:space="preserve"> </w:t>
                </w:r>
              </w:p>
            </w:tc>
            <w:tc>
              <w:tcPr>
                <w:tcW w:w="65" w:type="pct"/>
                <w:shd w:val="clear" w:color="auto" w:fill="FFFFFF"/>
                <w:tcMar>
                  <w:top w:w="15" w:type="dxa"/>
                  <w:left w:w="0" w:type="dxa"/>
                  <w:bottom w:w="0" w:type="dxa"/>
                  <w:right w:w="15" w:type="dxa"/>
                </w:tcMar>
                <w:vAlign w:val="bottom"/>
              </w:tcPr>
              <w:p w14:paraId="2A11F88A" w14:textId="77777777" w:rsidR="008C2C37" w:rsidRDefault="008C2C37">
                <w:pPr>
                  <w:rPr>
                    <w:rFonts w:ascii="Calibri"/>
                    <w:color w:val="000000"/>
                  </w:rPr>
                </w:pPr>
                <w:r>
                  <w:rPr>
                    <w:rFonts w:ascii="Calibri"/>
                    <w:color w:val="000000"/>
                  </w:rPr>
                  <w:t xml:space="preserve"> </w:t>
                </w:r>
              </w:p>
            </w:tc>
            <w:tc>
              <w:tcPr>
                <w:tcW w:w="1720" w:type="pct"/>
                <w:gridSpan w:val="10"/>
                <w:shd w:val="clear" w:color="auto" w:fill="FFFFFF"/>
                <w:tcMar>
                  <w:top w:w="15" w:type="dxa"/>
                  <w:left w:w="0" w:type="dxa"/>
                  <w:bottom w:w="0" w:type="dxa"/>
                  <w:right w:w="15" w:type="dxa"/>
                </w:tcMar>
                <w:vAlign w:val="bottom"/>
              </w:tcPr>
              <w:p w14:paraId="0E788154" w14:textId="77777777" w:rsidR="008C2C37" w:rsidRDefault="008C2C37">
                <w:pPr>
                  <w:jc w:val="center"/>
                  <w:rPr>
                    <w:rFonts w:ascii="Calibri"/>
                    <w:color w:val="000000"/>
                  </w:rPr>
                </w:pPr>
                <w:r>
                  <w:rPr>
                    <w:rFonts w:ascii="Calibri"/>
                    <w:color w:val="000000"/>
                  </w:rPr>
                  <w:t>Loans currently still in deferral</w:t>
                </w:r>
              </w:p>
            </w:tc>
            <w:tc>
              <w:tcPr>
                <w:tcW w:w="50" w:type="pct"/>
                <w:shd w:val="clear" w:color="auto" w:fill="FFFFFF"/>
                <w:noWrap/>
                <w:tcMar>
                  <w:top w:w="15" w:type="dxa"/>
                  <w:left w:w="0" w:type="dxa"/>
                  <w:bottom w:w="0" w:type="dxa"/>
                  <w:right w:w="15" w:type="dxa"/>
                </w:tcMar>
                <w:vAlign w:val="bottom"/>
              </w:tcPr>
              <w:p w14:paraId="40063A06" w14:textId="77777777" w:rsidR="008C2C37" w:rsidRDefault="008C2C37">
                <w:pPr>
                  <w:rPr>
                    <w:rFonts w:ascii="Calibri"/>
                    <w:color w:val="000000"/>
                  </w:rPr>
                </w:pPr>
                <w:r>
                  <w:rPr>
                    <w:rFonts w:ascii="Calibri"/>
                    <w:color w:val="000000"/>
                  </w:rPr>
                  <w:t xml:space="preserve"> </w:t>
                </w:r>
              </w:p>
            </w:tc>
          </w:tr>
          <w:tr w:rsidR="008C2C37" w14:paraId="0395DD83" w14:textId="77777777">
            <w:trPr>
              <w:cantSplit/>
            </w:trPr>
            <w:tc>
              <w:tcPr>
                <w:tcW w:w="1326" w:type="pct"/>
                <w:tcBorders>
                  <w:bottom w:val="single" w:sz="2" w:space="0" w:color="000000"/>
                </w:tcBorders>
                <w:shd w:val="clear" w:color="auto" w:fill="FFFFFF"/>
                <w:tcMar>
                  <w:top w:w="15" w:type="dxa"/>
                  <w:left w:w="0" w:type="dxa"/>
                  <w:bottom w:w="0" w:type="dxa"/>
                  <w:right w:w="15" w:type="dxa"/>
                </w:tcMar>
                <w:vAlign w:val="bottom"/>
              </w:tcPr>
              <w:p w14:paraId="04EA2B93" w14:textId="77777777" w:rsidR="008C2C37" w:rsidRDefault="008C2C37">
                <w:pPr>
                  <w:keepNext/>
                  <w:jc w:val="center"/>
                  <w:rPr>
                    <w:rFonts w:ascii="Calibri"/>
                    <w:b/>
                    <w:color w:val="000000"/>
                    <w:sz w:val="16"/>
                  </w:rPr>
                </w:pPr>
                <w:r>
                  <w:rPr>
                    <w:rFonts w:ascii="Calibri"/>
                    <w:b/>
                    <w:color w:val="000000"/>
                    <w:sz w:val="16"/>
                  </w:rPr>
                  <w:t>Type of Loan</w:t>
                </w:r>
              </w:p>
            </w:tc>
            <w:tc>
              <w:tcPr>
                <w:tcW w:w="65" w:type="pct"/>
                <w:shd w:val="clear" w:color="auto" w:fill="FFFFFF"/>
                <w:tcMar>
                  <w:top w:w="15" w:type="dxa"/>
                  <w:left w:w="0" w:type="dxa"/>
                  <w:bottom w:w="0" w:type="dxa"/>
                  <w:right w:w="15" w:type="dxa"/>
                </w:tcMar>
                <w:vAlign w:val="bottom"/>
              </w:tcPr>
              <w:p w14:paraId="2696551F" w14:textId="77777777" w:rsidR="008C2C37" w:rsidRDefault="008C2C37">
                <w:pPr>
                  <w:jc w:val="center"/>
                  <w:rPr>
                    <w:rFonts w:ascii="Calibri"/>
                    <w:b/>
                    <w:color w:val="000000"/>
                    <w:sz w:val="16"/>
                  </w:rPr>
                </w:pPr>
                <w:r>
                  <w:rPr>
                    <w:rFonts w:ascii="Calibri"/>
                    <w:b/>
                    <w:color w:val="000000"/>
                    <w:sz w:val="16"/>
                  </w:rPr>
                  <w:t xml:space="preserve"> </w:t>
                </w:r>
              </w:p>
            </w:tc>
            <w:tc>
              <w:tcPr>
                <w:tcW w:w="383" w:type="pct"/>
                <w:gridSpan w:val="2"/>
                <w:tcBorders>
                  <w:bottom w:val="single" w:sz="2" w:space="0" w:color="000000"/>
                </w:tcBorders>
                <w:shd w:val="clear" w:color="auto" w:fill="FFFFFF"/>
                <w:tcMar>
                  <w:top w:w="15" w:type="dxa"/>
                  <w:left w:w="0" w:type="dxa"/>
                  <w:bottom w:w="0" w:type="dxa"/>
                  <w:right w:w="15" w:type="dxa"/>
                </w:tcMar>
                <w:vAlign w:val="bottom"/>
              </w:tcPr>
              <w:p w14:paraId="704C569F" w14:textId="77777777" w:rsidR="008C2C37" w:rsidRDefault="008C2C37">
                <w:pPr>
                  <w:jc w:val="center"/>
                  <w:rPr>
                    <w:rFonts w:ascii="Calibri"/>
                    <w:b/>
                    <w:color w:val="000000"/>
                    <w:sz w:val="16"/>
                  </w:rPr>
                </w:pPr>
                <w:r>
                  <w:rPr>
                    <w:rFonts w:ascii="Calibri"/>
                    <w:b/>
                    <w:color w:val="000000"/>
                    <w:sz w:val="16"/>
                  </w:rPr>
                  <w:t>Number</w:t>
                </w:r>
                <w:r>
                  <w:rPr>
                    <w:rFonts w:ascii="Calibri"/>
                    <w:b/>
                    <w:color w:val="000000"/>
                    <w:sz w:val="16"/>
                  </w:rPr>
                  <w:t> </w:t>
                </w:r>
                <w:r>
                  <w:rPr>
                    <w:rFonts w:ascii="Calibri"/>
                    <w:b/>
                    <w:color w:val="000000"/>
                    <w:sz w:val="16"/>
                  </w:rPr>
                  <w:t>of</w:t>
                </w:r>
              </w:p>
              <w:p w14:paraId="3BA3F77A" w14:textId="77777777" w:rsidR="008C2C37" w:rsidRDefault="008C2C37">
                <w:pPr>
                  <w:jc w:val="center"/>
                </w:pPr>
                <w:r>
                  <w:rPr>
                    <w:rFonts w:ascii="Calibri"/>
                    <w:b/>
                    <w:color w:val="000000"/>
                    <w:sz w:val="16"/>
                  </w:rPr>
                  <w:t>Loans</w:t>
                </w:r>
              </w:p>
            </w:tc>
            <w:tc>
              <w:tcPr>
                <w:tcW w:w="50" w:type="pct"/>
                <w:shd w:val="clear" w:color="auto" w:fill="FFFFFF"/>
                <w:noWrap/>
                <w:tcMar>
                  <w:top w:w="15" w:type="dxa"/>
                  <w:left w:w="0" w:type="dxa"/>
                  <w:bottom w:w="0" w:type="dxa"/>
                  <w:right w:w="15" w:type="dxa"/>
                </w:tcMar>
                <w:vAlign w:val="bottom"/>
              </w:tcPr>
              <w:p w14:paraId="1C59E029" w14:textId="77777777" w:rsidR="008C2C37" w:rsidRDefault="008C2C37">
                <w:pPr>
                  <w:rPr>
                    <w:rFonts w:ascii="Calibri"/>
                    <w:b/>
                    <w:color w:val="000000"/>
                    <w:sz w:val="16"/>
                  </w:rPr>
                </w:pPr>
                <w:r>
                  <w:rPr>
                    <w:rFonts w:ascii="Calibri"/>
                    <w:b/>
                    <w:color w:val="000000"/>
                    <w:sz w:val="16"/>
                  </w:rPr>
                  <w:t xml:space="preserve"> </w:t>
                </w:r>
              </w:p>
            </w:tc>
            <w:tc>
              <w:tcPr>
                <w:tcW w:w="65" w:type="pct"/>
                <w:shd w:val="clear" w:color="auto" w:fill="FFFFFF"/>
                <w:tcMar>
                  <w:top w:w="15" w:type="dxa"/>
                  <w:left w:w="0" w:type="dxa"/>
                  <w:bottom w:w="0" w:type="dxa"/>
                  <w:right w:w="15" w:type="dxa"/>
                </w:tcMar>
                <w:vAlign w:val="bottom"/>
              </w:tcPr>
              <w:p w14:paraId="3EF93A65" w14:textId="77777777" w:rsidR="008C2C37" w:rsidRDefault="008C2C37">
                <w:pPr>
                  <w:jc w:val="center"/>
                  <w:rPr>
                    <w:rFonts w:ascii="Calibri"/>
                    <w:b/>
                    <w:color w:val="000000"/>
                    <w:sz w:val="16"/>
                  </w:rPr>
                </w:pPr>
                <w:r>
                  <w:rPr>
                    <w:rFonts w:ascii="Calibri"/>
                    <w:b/>
                    <w:color w:val="000000"/>
                    <w:sz w:val="16"/>
                  </w:rPr>
                  <w:t xml:space="preserve"> </w:t>
                </w:r>
              </w:p>
            </w:tc>
            <w:tc>
              <w:tcPr>
                <w:tcW w:w="553" w:type="pct"/>
                <w:gridSpan w:val="2"/>
                <w:tcBorders>
                  <w:bottom w:val="single" w:sz="2" w:space="0" w:color="000000"/>
                </w:tcBorders>
                <w:shd w:val="clear" w:color="auto" w:fill="FFFFFF"/>
                <w:tcMar>
                  <w:top w:w="15" w:type="dxa"/>
                  <w:left w:w="0" w:type="dxa"/>
                  <w:bottom w:w="0" w:type="dxa"/>
                  <w:right w:w="15" w:type="dxa"/>
                </w:tcMar>
                <w:vAlign w:val="bottom"/>
              </w:tcPr>
              <w:p w14:paraId="7A4202B0" w14:textId="77777777" w:rsidR="008C2C37" w:rsidRDefault="008C2C37">
                <w:pPr>
                  <w:jc w:val="center"/>
                  <w:rPr>
                    <w:rFonts w:ascii="Calibri"/>
                    <w:b/>
                    <w:color w:val="000000"/>
                    <w:sz w:val="16"/>
                  </w:rPr>
                </w:pPr>
                <w:r>
                  <w:rPr>
                    <w:rFonts w:ascii="Calibri"/>
                    <w:b/>
                    <w:color w:val="000000"/>
                    <w:sz w:val="16"/>
                  </w:rPr>
                  <w:t>Balance as of                    September 30, 2020</w:t>
                </w:r>
              </w:p>
            </w:tc>
            <w:tc>
              <w:tcPr>
                <w:tcW w:w="50" w:type="pct"/>
                <w:shd w:val="clear" w:color="auto" w:fill="FFFFFF"/>
                <w:noWrap/>
                <w:tcMar>
                  <w:top w:w="15" w:type="dxa"/>
                  <w:left w:w="0" w:type="dxa"/>
                  <w:bottom w:w="0" w:type="dxa"/>
                  <w:right w:w="15" w:type="dxa"/>
                </w:tcMar>
                <w:vAlign w:val="bottom"/>
              </w:tcPr>
              <w:p w14:paraId="516E1D83" w14:textId="77777777" w:rsidR="008C2C37" w:rsidRDefault="008C2C37">
                <w:pPr>
                  <w:rPr>
                    <w:rFonts w:ascii="Calibri"/>
                    <w:b/>
                    <w:color w:val="000000"/>
                    <w:sz w:val="16"/>
                  </w:rPr>
                </w:pPr>
                <w:r>
                  <w:rPr>
                    <w:rFonts w:ascii="Calibri"/>
                    <w:b/>
                    <w:color w:val="000000"/>
                    <w:sz w:val="16"/>
                  </w:rPr>
                  <w:t xml:space="preserve"> </w:t>
                </w:r>
              </w:p>
            </w:tc>
            <w:tc>
              <w:tcPr>
                <w:tcW w:w="65" w:type="pct"/>
                <w:shd w:val="clear" w:color="auto" w:fill="FFFFFF"/>
                <w:tcMar>
                  <w:top w:w="15" w:type="dxa"/>
                  <w:left w:w="0" w:type="dxa"/>
                  <w:bottom w:w="0" w:type="dxa"/>
                  <w:right w:w="15" w:type="dxa"/>
                </w:tcMar>
                <w:vAlign w:val="bottom"/>
              </w:tcPr>
              <w:p w14:paraId="086F02EF" w14:textId="77777777" w:rsidR="008C2C37" w:rsidRDefault="008C2C37">
                <w:pPr>
                  <w:jc w:val="center"/>
                  <w:rPr>
                    <w:rFonts w:ascii="Calibri"/>
                    <w:b/>
                    <w:color w:val="000000"/>
                    <w:sz w:val="16"/>
                  </w:rPr>
                </w:pPr>
                <w:r>
                  <w:rPr>
                    <w:rFonts w:ascii="Calibri"/>
                    <w:b/>
                    <w:color w:val="000000"/>
                    <w:sz w:val="16"/>
                  </w:rPr>
                  <w:t xml:space="preserve"> </w:t>
                </w:r>
              </w:p>
            </w:tc>
            <w:tc>
              <w:tcPr>
                <w:tcW w:w="553" w:type="pct"/>
                <w:gridSpan w:val="2"/>
                <w:tcBorders>
                  <w:bottom w:val="single" w:sz="2" w:space="0" w:color="000000"/>
                </w:tcBorders>
                <w:shd w:val="clear" w:color="auto" w:fill="FFFFFF"/>
                <w:tcMar>
                  <w:top w:w="15" w:type="dxa"/>
                  <w:left w:w="0" w:type="dxa"/>
                  <w:bottom w:w="0" w:type="dxa"/>
                  <w:right w:w="15" w:type="dxa"/>
                </w:tcMar>
                <w:vAlign w:val="bottom"/>
              </w:tcPr>
              <w:p w14:paraId="25D04439" w14:textId="77777777" w:rsidR="008C2C37" w:rsidRDefault="008C2C37">
                <w:pPr>
                  <w:jc w:val="center"/>
                  <w:rPr>
                    <w:rFonts w:ascii="Calibri"/>
                    <w:b/>
                    <w:color w:val="000000"/>
                    <w:sz w:val="16"/>
                  </w:rPr>
                </w:pPr>
                <w:r>
                  <w:rPr>
                    <w:rFonts w:ascii="Calibri"/>
                    <w:b/>
                    <w:color w:val="000000"/>
                    <w:sz w:val="16"/>
                  </w:rPr>
                  <w:t>Percent of Total Loans as of September 30, 2020</w:t>
                </w:r>
              </w:p>
            </w:tc>
            <w:tc>
              <w:tcPr>
                <w:tcW w:w="50" w:type="pct"/>
                <w:shd w:val="clear" w:color="auto" w:fill="FFFFFF"/>
                <w:noWrap/>
                <w:tcMar>
                  <w:top w:w="15" w:type="dxa"/>
                  <w:left w:w="0" w:type="dxa"/>
                  <w:bottom w:w="0" w:type="dxa"/>
                  <w:right w:w="15" w:type="dxa"/>
                </w:tcMar>
                <w:vAlign w:val="bottom"/>
              </w:tcPr>
              <w:p w14:paraId="41D5F76E" w14:textId="77777777" w:rsidR="008C2C37" w:rsidRDefault="008C2C37">
                <w:pPr>
                  <w:rPr>
                    <w:rFonts w:ascii="Calibri"/>
                    <w:b/>
                    <w:color w:val="000000"/>
                    <w:sz w:val="16"/>
                  </w:rPr>
                </w:pPr>
                <w:r>
                  <w:rPr>
                    <w:rFonts w:ascii="Calibri"/>
                    <w:b/>
                    <w:color w:val="000000"/>
                    <w:sz w:val="16"/>
                  </w:rPr>
                  <w:t xml:space="preserve"> </w:t>
                </w:r>
              </w:p>
            </w:tc>
            <w:tc>
              <w:tcPr>
                <w:tcW w:w="65" w:type="pct"/>
                <w:shd w:val="clear" w:color="auto" w:fill="FFFFFF"/>
                <w:tcMar>
                  <w:top w:w="15" w:type="dxa"/>
                  <w:left w:w="0" w:type="dxa"/>
                  <w:bottom w:w="0" w:type="dxa"/>
                  <w:right w:w="15" w:type="dxa"/>
                </w:tcMar>
                <w:vAlign w:val="bottom"/>
              </w:tcPr>
              <w:p w14:paraId="4881FDB1" w14:textId="77777777" w:rsidR="008C2C37" w:rsidRDefault="008C2C37">
                <w:pPr>
                  <w:jc w:val="center"/>
                  <w:rPr>
                    <w:rFonts w:ascii="Calibri"/>
                    <w:b/>
                    <w:color w:val="000000"/>
                    <w:sz w:val="16"/>
                  </w:rPr>
                </w:pPr>
                <w:r>
                  <w:rPr>
                    <w:rFonts w:ascii="Calibri"/>
                    <w:b/>
                    <w:color w:val="000000"/>
                    <w:sz w:val="16"/>
                  </w:rPr>
                  <w:t xml:space="preserve"> </w:t>
                </w:r>
              </w:p>
            </w:tc>
            <w:tc>
              <w:tcPr>
                <w:tcW w:w="383" w:type="pct"/>
                <w:gridSpan w:val="2"/>
                <w:tcBorders>
                  <w:bottom w:val="single" w:sz="2" w:space="0" w:color="000000"/>
                </w:tcBorders>
                <w:shd w:val="clear" w:color="auto" w:fill="FFFFFF"/>
                <w:tcMar>
                  <w:top w:w="15" w:type="dxa"/>
                  <w:left w:w="0" w:type="dxa"/>
                  <w:bottom w:w="0" w:type="dxa"/>
                  <w:right w:w="15" w:type="dxa"/>
                </w:tcMar>
                <w:vAlign w:val="bottom"/>
              </w:tcPr>
              <w:p w14:paraId="3DEE5B1F" w14:textId="77777777" w:rsidR="008C2C37" w:rsidRDefault="008C2C37">
                <w:pPr>
                  <w:jc w:val="center"/>
                  <w:rPr>
                    <w:rFonts w:ascii="Calibri"/>
                    <w:b/>
                    <w:color w:val="000000"/>
                    <w:sz w:val="16"/>
                  </w:rPr>
                </w:pPr>
                <w:r>
                  <w:rPr>
                    <w:rFonts w:ascii="Calibri"/>
                    <w:b/>
                    <w:color w:val="000000"/>
                    <w:sz w:val="16"/>
                  </w:rPr>
                  <w:t>Number</w:t>
                </w:r>
                <w:r>
                  <w:rPr>
                    <w:rFonts w:ascii="Calibri"/>
                    <w:b/>
                    <w:color w:val="000000"/>
                    <w:sz w:val="16"/>
                  </w:rPr>
                  <w:t> </w:t>
                </w:r>
                <w:r>
                  <w:rPr>
                    <w:rFonts w:ascii="Calibri"/>
                    <w:b/>
                    <w:color w:val="000000"/>
                    <w:sz w:val="16"/>
                  </w:rPr>
                  <w:t>of</w:t>
                </w:r>
              </w:p>
              <w:p w14:paraId="7C2A9CB5" w14:textId="77777777" w:rsidR="008C2C37" w:rsidRDefault="008C2C37">
                <w:pPr>
                  <w:jc w:val="center"/>
                </w:pPr>
                <w:r>
                  <w:rPr>
                    <w:rFonts w:ascii="Calibri"/>
                    <w:b/>
                    <w:color w:val="000000"/>
                    <w:sz w:val="16"/>
                  </w:rPr>
                  <w:t>Loans</w:t>
                </w:r>
              </w:p>
            </w:tc>
            <w:tc>
              <w:tcPr>
                <w:tcW w:w="50" w:type="pct"/>
                <w:shd w:val="clear" w:color="auto" w:fill="FFFFFF"/>
                <w:noWrap/>
                <w:tcMar>
                  <w:top w:w="15" w:type="dxa"/>
                  <w:left w:w="0" w:type="dxa"/>
                  <w:bottom w:w="0" w:type="dxa"/>
                  <w:right w:w="15" w:type="dxa"/>
                </w:tcMar>
                <w:vAlign w:val="bottom"/>
              </w:tcPr>
              <w:p w14:paraId="09CAD3E7" w14:textId="77777777" w:rsidR="008C2C37" w:rsidRDefault="008C2C37">
                <w:pPr>
                  <w:rPr>
                    <w:rFonts w:ascii="Calibri"/>
                    <w:b/>
                    <w:color w:val="000000"/>
                    <w:sz w:val="16"/>
                  </w:rPr>
                </w:pPr>
                <w:r>
                  <w:rPr>
                    <w:rFonts w:ascii="Calibri"/>
                    <w:b/>
                    <w:color w:val="000000"/>
                    <w:sz w:val="16"/>
                  </w:rPr>
                  <w:t xml:space="preserve"> </w:t>
                </w:r>
              </w:p>
            </w:tc>
            <w:tc>
              <w:tcPr>
                <w:tcW w:w="65" w:type="pct"/>
                <w:shd w:val="clear" w:color="auto" w:fill="FFFFFF"/>
                <w:tcMar>
                  <w:top w:w="15" w:type="dxa"/>
                  <w:left w:w="0" w:type="dxa"/>
                  <w:bottom w:w="0" w:type="dxa"/>
                  <w:right w:w="15" w:type="dxa"/>
                </w:tcMar>
                <w:vAlign w:val="bottom"/>
              </w:tcPr>
              <w:p w14:paraId="452FFA0B" w14:textId="77777777" w:rsidR="008C2C37" w:rsidRDefault="008C2C37">
                <w:pPr>
                  <w:jc w:val="center"/>
                  <w:rPr>
                    <w:rFonts w:ascii="Calibri"/>
                    <w:b/>
                    <w:color w:val="000000"/>
                    <w:sz w:val="16"/>
                  </w:rPr>
                </w:pPr>
                <w:r>
                  <w:rPr>
                    <w:rFonts w:ascii="Calibri"/>
                    <w:b/>
                    <w:color w:val="000000"/>
                    <w:sz w:val="16"/>
                  </w:rPr>
                  <w:t xml:space="preserve"> </w:t>
                </w:r>
              </w:p>
            </w:tc>
            <w:tc>
              <w:tcPr>
                <w:tcW w:w="553" w:type="pct"/>
                <w:gridSpan w:val="2"/>
                <w:tcBorders>
                  <w:bottom w:val="single" w:sz="2" w:space="0" w:color="000000"/>
                </w:tcBorders>
                <w:shd w:val="clear" w:color="auto" w:fill="FFFFFF"/>
                <w:tcMar>
                  <w:top w:w="15" w:type="dxa"/>
                  <w:left w:w="0" w:type="dxa"/>
                  <w:bottom w:w="0" w:type="dxa"/>
                  <w:right w:w="15" w:type="dxa"/>
                </w:tcMar>
                <w:vAlign w:val="bottom"/>
              </w:tcPr>
              <w:p w14:paraId="5C984984" w14:textId="77777777" w:rsidR="008C2C37" w:rsidRDefault="008C2C37">
                <w:pPr>
                  <w:jc w:val="center"/>
                  <w:rPr>
                    <w:rFonts w:ascii="Calibri"/>
                    <w:b/>
                    <w:color w:val="000000"/>
                    <w:sz w:val="16"/>
                  </w:rPr>
                </w:pPr>
                <w:r>
                  <w:rPr>
                    <w:rFonts w:ascii="Calibri"/>
                    <w:b/>
                    <w:color w:val="000000"/>
                    <w:sz w:val="16"/>
                  </w:rPr>
                  <w:t>Balance as of                    September 30, 2020</w:t>
                </w:r>
              </w:p>
            </w:tc>
            <w:tc>
              <w:tcPr>
                <w:tcW w:w="50" w:type="pct"/>
                <w:shd w:val="clear" w:color="auto" w:fill="FFFFFF"/>
                <w:noWrap/>
                <w:tcMar>
                  <w:top w:w="15" w:type="dxa"/>
                  <w:left w:w="0" w:type="dxa"/>
                  <w:bottom w:w="0" w:type="dxa"/>
                  <w:right w:w="15" w:type="dxa"/>
                </w:tcMar>
                <w:vAlign w:val="bottom"/>
              </w:tcPr>
              <w:p w14:paraId="59493EC5" w14:textId="77777777" w:rsidR="008C2C37" w:rsidRDefault="008C2C37">
                <w:pPr>
                  <w:rPr>
                    <w:rFonts w:ascii="Calibri"/>
                    <w:b/>
                    <w:color w:val="000000"/>
                    <w:sz w:val="16"/>
                  </w:rPr>
                </w:pPr>
                <w:r>
                  <w:rPr>
                    <w:rFonts w:ascii="Calibri"/>
                    <w:b/>
                    <w:color w:val="000000"/>
                    <w:sz w:val="16"/>
                  </w:rPr>
                  <w:t xml:space="preserve"> </w:t>
                </w:r>
              </w:p>
            </w:tc>
            <w:tc>
              <w:tcPr>
                <w:tcW w:w="65" w:type="pct"/>
                <w:shd w:val="clear" w:color="auto" w:fill="FFFFFF"/>
                <w:tcMar>
                  <w:top w:w="15" w:type="dxa"/>
                  <w:left w:w="0" w:type="dxa"/>
                  <w:bottom w:w="0" w:type="dxa"/>
                  <w:right w:w="15" w:type="dxa"/>
                </w:tcMar>
                <w:vAlign w:val="bottom"/>
              </w:tcPr>
              <w:p w14:paraId="69F9E208" w14:textId="77777777" w:rsidR="008C2C37" w:rsidRDefault="008C2C37">
                <w:pPr>
                  <w:jc w:val="center"/>
                  <w:rPr>
                    <w:rFonts w:ascii="Calibri"/>
                    <w:b/>
                    <w:color w:val="000000"/>
                    <w:sz w:val="16"/>
                  </w:rPr>
                </w:pPr>
                <w:r>
                  <w:rPr>
                    <w:rFonts w:ascii="Calibri"/>
                    <w:b/>
                    <w:color w:val="000000"/>
                    <w:sz w:val="16"/>
                  </w:rPr>
                  <w:t xml:space="preserve"> </w:t>
                </w:r>
              </w:p>
            </w:tc>
            <w:tc>
              <w:tcPr>
                <w:tcW w:w="553" w:type="pct"/>
                <w:gridSpan w:val="2"/>
                <w:tcBorders>
                  <w:bottom w:val="single" w:sz="2" w:space="0" w:color="000000"/>
                </w:tcBorders>
                <w:shd w:val="clear" w:color="auto" w:fill="FFFFFF"/>
                <w:tcMar>
                  <w:top w:w="15" w:type="dxa"/>
                  <w:left w:w="0" w:type="dxa"/>
                  <w:bottom w:w="0" w:type="dxa"/>
                  <w:right w:w="15" w:type="dxa"/>
                </w:tcMar>
                <w:vAlign w:val="bottom"/>
              </w:tcPr>
              <w:p w14:paraId="32613E46" w14:textId="77777777" w:rsidR="008C2C37" w:rsidRDefault="008C2C37">
                <w:pPr>
                  <w:jc w:val="center"/>
                  <w:rPr>
                    <w:rFonts w:ascii="Calibri"/>
                    <w:b/>
                    <w:color w:val="000000"/>
                    <w:sz w:val="16"/>
                  </w:rPr>
                </w:pPr>
                <w:r>
                  <w:rPr>
                    <w:rFonts w:ascii="Calibri"/>
                    <w:b/>
                    <w:color w:val="000000"/>
                    <w:sz w:val="16"/>
                  </w:rPr>
                  <w:t>Percent of Total Loans as of September 30, 2020</w:t>
                </w:r>
              </w:p>
            </w:tc>
            <w:tc>
              <w:tcPr>
                <w:tcW w:w="50" w:type="pct"/>
                <w:shd w:val="clear" w:color="auto" w:fill="FFFFFF"/>
                <w:noWrap/>
                <w:tcMar>
                  <w:top w:w="15" w:type="dxa"/>
                  <w:left w:w="0" w:type="dxa"/>
                  <w:bottom w:w="0" w:type="dxa"/>
                  <w:right w:w="15" w:type="dxa"/>
                </w:tcMar>
                <w:vAlign w:val="bottom"/>
              </w:tcPr>
              <w:p w14:paraId="579ED673" w14:textId="77777777" w:rsidR="008C2C37" w:rsidRDefault="008C2C37">
                <w:pPr>
                  <w:rPr>
                    <w:rFonts w:ascii="Calibri"/>
                    <w:b/>
                    <w:color w:val="000000"/>
                    <w:sz w:val="16"/>
                  </w:rPr>
                </w:pPr>
                <w:r>
                  <w:rPr>
                    <w:rFonts w:ascii="Calibri"/>
                    <w:b/>
                    <w:color w:val="000000"/>
                    <w:sz w:val="16"/>
                  </w:rPr>
                  <w:t xml:space="preserve"> </w:t>
                </w:r>
              </w:p>
            </w:tc>
          </w:tr>
          <w:tr w:rsidR="008C2C37" w14:paraId="25095302" w14:textId="77777777">
            <w:trPr>
              <w:cantSplit/>
            </w:trPr>
            <w:tc>
              <w:tcPr>
                <w:tcW w:w="1326" w:type="pct"/>
                <w:tcBorders>
                  <w:top w:val="single" w:sz="2" w:space="0" w:color="000000"/>
                </w:tcBorders>
                <w:shd w:val="clear" w:color="auto" w:fill="CFF0FC"/>
                <w:tcMar>
                  <w:top w:w="15" w:type="dxa"/>
                  <w:left w:w="0" w:type="dxa"/>
                  <w:bottom w:w="0" w:type="dxa"/>
                  <w:right w:w="15" w:type="dxa"/>
                </w:tcMar>
              </w:tcPr>
              <w:p w14:paraId="275F9500" w14:textId="77777777" w:rsidR="008C2C37" w:rsidRDefault="008C2C37">
                <w:pPr>
                  <w:keepNext/>
                  <w:rPr>
                    <w:rFonts w:ascii="Calibri"/>
                    <w:color w:val="000000"/>
                    <w:sz w:val="20"/>
                  </w:rPr>
                </w:pPr>
                <w:r>
                  <w:rPr>
                    <w:rFonts w:ascii="Calibri"/>
                    <w:color w:val="000000"/>
                    <w:sz w:val="20"/>
                  </w:rPr>
                  <w:t>One- to four-family residential real estate</w:t>
                </w:r>
              </w:p>
            </w:tc>
            <w:tc>
              <w:tcPr>
                <w:tcW w:w="65" w:type="pct"/>
                <w:shd w:val="clear" w:color="auto" w:fill="CFF0FC"/>
                <w:tcMar>
                  <w:top w:w="15" w:type="dxa"/>
                  <w:left w:w="0" w:type="dxa"/>
                  <w:bottom w:w="0" w:type="dxa"/>
                  <w:right w:w="15" w:type="dxa"/>
                </w:tcMar>
                <w:vAlign w:val="bottom"/>
              </w:tcPr>
              <w:p w14:paraId="18E3F380" w14:textId="77777777" w:rsidR="008C2C37" w:rsidRDefault="008C2C37">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C012873" w14:textId="77777777" w:rsidR="008C2C37" w:rsidRDefault="008C2C37">
                <w:pPr>
                  <w:rPr>
                    <w:rFonts w:ascii="Calibri"/>
                    <w:color w:val="000000"/>
                    <w:sz w:val="20"/>
                  </w:rPr>
                </w:pPr>
                <w:r>
                  <w:rPr>
                    <w:rFonts w:ascii="Calibri"/>
                    <w:color w:val="000000"/>
                    <w:sz w:val="20"/>
                  </w:rPr>
                  <w:t xml:space="preserve"> </w:t>
                </w:r>
              </w:p>
            </w:tc>
            <w:tc>
              <w:tcPr>
                <w:tcW w:w="333" w:type="pct"/>
                <w:tcBorders>
                  <w:top w:val="single" w:sz="2" w:space="0" w:color="000000"/>
                </w:tcBorders>
                <w:shd w:val="clear" w:color="auto" w:fill="CFF0FC"/>
                <w:noWrap/>
                <w:tcMar>
                  <w:top w:w="15" w:type="dxa"/>
                  <w:left w:w="0" w:type="dxa"/>
                  <w:bottom w:w="0" w:type="dxa"/>
                  <w:right w:w="15" w:type="dxa"/>
                </w:tcMar>
                <w:vAlign w:val="bottom"/>
              </w:tcPr>
              <w:p w14:paraId="5379B166" w14:textId="77777777" w:rsidR="008C2C37" w:rsidRDefault="008C2C37">
                <w:pPr>
                  <w:jc w:val="center"/>
                  <w:rPr>
                    <w:rFonts w:ascii="Calibri"/>
                    <w:color w:val="000000"/>
                    <w:sz w:val="20"/>
                  </w:rPr>
                </w:pPr>
                <w:r>
                  <w:rPr>
                    <w:rFonts w:ascii="Calibri"/>
                    <w:color w:val="000000"/>
                    <w:sz w:val="20"/>
                  </w:rPr>
                  <w:t>146</w:t>
                </w:r>
              </w:p>
            </w:tc>
            <w:tc>
              <w:tcPr>
                <w:tcW w:w="50" w:type="pct"/>
                <w:shd w:val="clear" w:color="auto" w:fill="CFF0FC"/>
                <w:noWrap/>
                <w:tcMar>
                  <w:top w:w="15" w:type="dxa"/>
                  <w:left w:w="0" w:type="dxa"/>
                  <w:bottom w:w="0" w:type="dxa"/>
                  <w:right w:w="15" w:type="dxa"/>
                </w:tcMar>
                <w:vAlign w:val="bottom"/>
              </w:tcPr>
              <w:p w14:paraId="7E976600"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113106F0" w14:textId="77777777" w:rsidR="008C2C37" w:rsidRDefault="008C2C37">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0E3DF42" w14:textId="77777777" w:rsidR="008C2C37" w:rsidRDefault="008C2C37">
                <w:pPr>
                  <w:rPr>
                    <w:rFonts w:ascii="Calibri"/>
                    <w:color w:val="000000"/>
                    <w:sz w:val="20"/>
                  </w:rPr>
                </w:pPr>
                <w:r>
                  <w:rPr>
                    <w:rFonts w:ascii="Calibri"/>
                    <w:color w:val="000000"/>
                    <w:sz w:val="20"/>
                  </w:rPr>
                  <w:t>$</w:t>
                </w:r>
              </w:p>
            </w:tc>
            <w:tc>
              <w:tcPr>
                <w:tcW w:w="503" w:type="pct"/>
                <w:tcBorders>
                  <w:top w:val="single" w:sz="2" w:space="0" w:color="000000"/>
                </w:tcBorders>
                <w:shd w:val="clear" w:color="auto" w:fill="CFF0FC"/>
                <w:noWrap/>
                <w:tcMar>
                  <w:top w:w="15" w:type="dxa"/>
                  <w:left w:w="0" w:type="dxa"/>
                  <w:bottom w:w="0" w:type="dxa"/>
                  <w:right w:w="15" w:type="dxa"/>
                </w:tcMar>
                <w:vAlign w:val="bottom"/>
              </w:tcPr>
              <w:p w14:paraId="60F8B80C" w14:textId="77777777" w:rsidR="008C2C37" w:rsidRDefault="008C2C37">
                <w:pPr>
                  <w:jc w:val="right"/>
                  <w:rPr>
                    <w:rFonts w:ascii="Calibri"/>
                    <w:color w:val="000000"/>
                    <w:sz w:val="20"/>
                  </w:rPr>
                </w:pPr>
                <w:r>
                  <w:rPr>
                    <w:rFonts w:ascii="Calibri"/>
                    <w:color w:val="000000"/>
                    <w:sz w:val="20"/>
                  </w:rPr>
                  <w:t>42,661,815</w:t>
                </w:r>
              </w:p>
            </w:tc>
            <w:tc>
              <w:tcPr>
                <w:tcW w:w="50" w:type="pct"/>
                <w:shd w:val="clear" w:color="auto" w:fill="CFF0FC"/>
                <w:noWrap/>
                <w:tcMar>
                  <w:top w:w="15" w:type="dxa"/>
                  <w:left w:w="0" w:type="dxa"/>
                  <w:bottom w:w="0" w:type="dxa"/>
                  <w:right w:w="15" w:type="dxa"/>
                </w:tcMar>
                <w:vAlign w:val="bottom"/>
              </w:tcPr>
              <w:p w14:paraId="40B992BB"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2A3ED8C4" w14:textId="77777777" w:rsidR="008C2C37" w:rsidRDefault="008C2C37">
                <w:pPr>
                  <w:rPr>
                    <w:rFonts w:ascii="Calibri"/>
                    <w:color w:val="000000"/>
                    <w:sz w:val="20"/>
                  </w:rPr>
                </w:pPr>
                <w:r>
                  <w:rPr>
                    <w:rFonts w:ascii="Calibri"/>
                    <w:color w:val="000000"/>
                    <w:sz w:val="20"/>
                  </w:rPr>
                  <w:t xml:space="preserve"> </w:t>
                </w:r>
              </w:p>
            </w:tc>
            <w:tc>
              <w:tcPr>
                <w:tcW w:w="553" w:type="pct"/>
                <w:gridSpan w:val="2"/>
                <w:tcBorders>
                  <w:top w:val="single" w:sz="2" w:space="0" w:color="000000"/>
                </w:tcBorders>
                <w:shd w:val="clear" w:color="auto" w:fill="CFF0FC"/>
                <w:tcMar>
                  <w:top w:w="15" w:type="dxa"/>
                  <w:left w:w="0" w:type="dxa"/>
                  <w:bottom w:w="0" w:type="dxa"/>
                  <w:right w:w="15" w:type="dxa"/>
                </w:tcMar>
                <w:vAlign w:val="bottom"/>
              </w:tcPr>
              <w:p w14:paraId="480E9FF5" w14:textId="77777777" w:rsidR="008C2C37" w:rsidRDefault="008C2C37">
                <w:pPr>
                  <w:jc w:val="center"/>
                  <w:rPr>
                    <w:rFonts w:ascii="Calibri"/>
                    <w:color w:val="000000"/>
                    <w:sz w:val="20"/>
                  </w:rPr>
                </w:pPr>
                <w:r>
                  <w:rPr>
                    <w:rFonts w:ascii="Calibri"/>
                    <w:color w:val="000000"/>
                    <w:sz w:val="20"/>
                  </w:rPr>
                  <w:t>7.3%</w:t>
                </w:r>
              </w:p>
            </w:tc>
            <w:tc>
              <w:tcPr>
                <w:tcW w:w="50" w:type="pct"/>
                <w:shd w:val="clear" w:color="auto" w:fill="CFF0FC"/>
                <w:noWrap/>
                <w:tcMar>
                  <w:top w:w="15" w:type="dxa"/>
                  <w:left w:w="0" w:type="dxa"/>
                  <w:bottom w:w="0" w:type="dxa"/>
                  <w:right w:w="15" w:type="dxa"/>
                </w:tcMar>
                <w:vAlign w:val="bottom"/>
              </w:tcPr>
              <w:p w14:paraId="741B6227"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59915E70" w14:textId="77777777" w:rsidR="008C2C37" w:rsidRDefault="008C2C37">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8E0DAA9" w14:textId="77777777" w:rsidR="008C2C37" w:rsidRDefault="008C2C37">
                <w:pPr>
                  <w:rPr>
                    <w:rFonts w:ascii="Calibri"/>
                    <w:color w:val="000000"/>
                    <w:sz w:val="20"/>
                  </w:rPr>
                </w:pPr>
                <w:r>
                  <w:rPr>
                    <w:rFonts w:ascii="Calibri"/>
                    <w:color w:val="000000"/>
                    <w:sz w:val="20"/>
                  </w:rPr>
                  <w:t xml:space="preserve"> </w:t>
                </w:r>
              </w:p>
            </w:tc>
            <w:tc>
              <w:tcPr>
                <w:tcW w:w="333" w:type="pct"/>
                <w:tcBorders>
                  <w:top w:val="single" w:sz="2" w:space="0" w:color="000000"/>
                </w:tcBorders>
                <w:shd w:val="clear" w:color="auto" w:fill="CFF0FC"/>
                <w:noWrap/>
                <w:tcMar>
                  <w:top w:w="15" w:type="dxa"/>
                  <w:left w:w="0" w:type="dxa"/>
                  <w:bottom w:w="0" w:type="dxa"/>
                  <w:right w:w="15" w:type="dxa"/>
                </w:tcMar>
                <w:vAlign w:val="bottom"/>
              </w:tcPr>
              <w:p w14:paraId="2531556B" w14:textId="77777777" w:rsidR="008C2C37" w:rsidRDefault="008C2C37">
                <w:pPr>
                  <w:jc w:val="center"/>
                  <w:rPr>
                    <w:rFonts w:ascii="Calibri"/>
                    <w:color w:val="000000"/>
                    <w:sz w:val="20"/>
                  </w:rPr>
                </w:pPr>
                <w:r>
                  <w:rPr>
                    <w:rFonts w:ascii="Calibri"/>
                    <w:color w:val="000000"/>
                    <w:sz w:val="20"/>
                  </w:rPr>
                  <w:t>25</w:t>
                </w:r>
              </w:p>
            </w:tc>
            <w:tc>
              <w:tcPr>
                <w:tcW w:w="50" w:type="pct"/>
                <w:shd w:val="clear" w:color="auto" w:fill="CFF0FC"/>
                <w:noWrap/>
                <w:tcMar>
                  <w:top w:w="15" w:type="dxa"/>
                  <w:left w:w="0" w:type="dxa"/>
                  <w:bottom w:w="0" w:type="dxa"/>
                  <w:right w:w="15" w:type="dxa"/>
                </w:tcMar>
                <w:vAlign w:val="bottom"/>
              </w:tcPr>
              <w:p w14:paraId="70A6C368"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48A36F4E" w14:textId="77777777" w:rsidR="008C2C37" w:rsidRDefault="008C2C37">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0F1ED5C" w14:textId="77777777" w:rsidR="008C2C37" w:rsidRDefault="008C2C37">
                <w:pPr>
                  <w:rPr>
                    <w:rFonts w:ascii="Calibri"/>
                    <w:color w:val="000000"/>
                    <w:sz w:val="20"/>
                  </w:rPr>
                </w:pPr>
                <w:r>
                  <w:rPr>
                    <w:rFonts w:ascii="Calibri"/>
                    <w:color w:val="000000"/>
                    <w:sz w:val="20"/>
                  </w:rPr>
                  <w:t>$</w:t>
                </w:r>
              </w:p>
            </w:tc>
            <w:tc>
              <w:tcPr>
                <w:tcW w:w="503" w:type="pct"/>
                <w:tcBorders>
                  <w:top w:val="single" w:sz="2" w:space="0" w:color="000000"/>
                </w:tcBorders>
                <w:shd w:val="clear" w:color="auto" w:fill="CFF0FC"/>
                <w:noWrap/>
                <w:tcMar>
                  <w:top w:w="15" w:type="dxa"/>
                  <w:left w:w="0" w:type="dxa"/>
                  <w:bottom w:w="0" w:type="dxa"/>
                  <w:right w:w="15" w:type="dxa"/>
                </w:tcMar>
                <w:vAlign w:val="bottom"/>
              </w:tcPr>
              <w:p w14:paraId="1C2BBD16" w14:textId="77777777" w:rsidR="008C2C37" w:rsidRDefault="008C2C37">
                <w:pPr>
                  <w:jc w:val="right"/>
                  <w:rPr>
                    <w:rFonts w:ascii="Calibri"/>
                    <w:color w:val="000000"/>
                    <w:sz w:val="20"/>
                  </w:rPr>
                </w:pPr>
                <w:r>
                  <w:rPr>
                    <w:rFonts w:ascii="Calibri"/>
                    <w:color w:val="000000"/>
                    <w:sz w:val="20"/>
                  </w:rPr>
                  <w:t>7,948,412</w:t>
                </w:r>
              </w:p>
            </w:tc>
            <w:tc>
              <w:tcPr>
                <w:tcW w:w="50" w:type="pct"/>
                <w:shd w:val="clear" w:color="auto" w:fill="CFF0FC"/>
                <w:noWrap/>
                <w:tcMar>
                  <w:top w:w="15" w:type="dxa"/>
                  <w:left w:w="0" w:type="dxa"/>
                  <w:bottom w:w="0" w:type="dxa"/>
                  <w:right w:w="15" w:type="dxa"/>
                </w:tcMar>
                <w:vAlign w:val="bottom"/>
              </w:tcPr>
              <w:p w14:paraId="5501C697"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402C6147" w14:textId="77777777" w:rsidR="008C2C37" w:rsidRDefault="008C2C37">
                <w:pPr>
                  <w:rPr>
                    <w:rFonts w:ascii="Calibri"/>
                    <w:color w:val="000000"/>
                    <w:sz w:val="20"/>
                  </w:rPr>
                </w:pPr>
                <w:r>
                  <w:rPr>
                    <w:rFonts w:ascii="Calibri"/>
                    <w:color w:val="000000"/>
                    <w:sz w:val="20"/>
                  </w:rPr>
                  <w:t xml:space="preserve"> </w:t>
                </w:r>
              </w:p>
            </w:tc>
            <w:tc>
              <w:tcPr>
                <w:tcW w:w="553" w:type="pct"/>
                <w:gridSpan w:val="2"/>
                <w:tcBorders>
                  <w:top w:val="single" w:sz="2" w:space="0" w:color="000000"/>
                </w:tcBorders>
                <w:shd w:val="clear" w:color="auto" w:fill="CFF0FC"/>
                <w:tcMar>
                  <w:top w:w="15" w:type="dxa"/>
                  <w:left w:w="0" w:type="dxa"/>
                  <w:bottom w:w="0" w:type="dxa"/>
                  <w:right w:w="15" w:type="dxa"/>
                </w:tcMar>
                <w:vAlign w:val="bottom"/>
              </w:tcPr>
              <w:p w14:paraId="019CB325" w14:textId="77777777" w:rsidR="008C2C37" w:rsidRDefault="008C2C37">
                <w:pPr>
                  <w:jc w:val="center"/>
                  <w:rPr>
                    <w:rFonts w:ascii="Calibri"/>
                    <w:color w:val="000000"/>
                    <w:sz w:val="20"/>
                  </w:rPr>
                </w:pPr>
                <w:r>
                  <w:rPr>
                    <w:rFonts w:ascii="Calibri"/>
                    <w:color w:val="000000"/>
                    <w:sz w:val="20"/>
                  </w:rPr>
                  <w:t>1.4%</w:t>
                </w:r>
              </w:p>
            </w:tc>
            <w:tc>
              <w:tcPr>
                <w:tcW w:w="50" w:type="pct"/>
                <w:shd w:val="clear" w:color="auto" w:fill="CFF0FC"/>
                <w:noWrap/>
                <w:tcMar>
                  <w:top w:w="15" w:type="dxa"/>
                  <w:left w:w="0" w:type="dxa"/>
                  <w:bottom w:w="0" w:type="dxa"/>
                  <w:right w:w="15" w:type="dxa"/>
                </w:tcMar>
                <w:vAlign w:val="bottom"/>
              </w:tcPr>
              <w:p w14:paraId="73913774" w14:textId="77777777" w:rsidR="008C2C37" w:rsidRDefault="008C2C37">
                <w:pPr>
                  <w:rPr>
                    <w:rFonts w:ascii="Calibri"/>
                    <w:color w:val="000000"/>
                    <w:sz w:val="20"/>
                  </w:rPr>
                </w:pPr>
                <w:r>
                  <w:rPr>
                    <w:rFonts w:ascii="Calibri"/>
                    <w:color w:val="000000"/>
                    <w:sz w:val="20"/>
                  </w:rPr>
                  <w:t xml:space="preserve"> </w:t>
                </w:r>
              </w:p>
            </w:tc>
          </w:tr>
          <w:tr w:rsidR="008C2C37" w14:paraId="0804486C" w14:textId="77777777">
            <w:trPr>
              <w:cantSplit/>
            </w:trPr>
            <w:tc>
              <w:tcPr>
                <w:tcW w:w="1326" w:type="pct"/>
                <w:shd w:val="clear" w:color="auto" w:fill="FFFFFF"/>
                <w:tcMar>
                  <w:top w:w="15" w:type="dxa"/>
                  <w:left w:w="0" w:type="dxa"/>
                  <w:bottom w:w="0" w:type="dxa"/>
                  <w:right w:w="15" w:type="dxa"/>
                </w:tcMar>
              </w:tcPr>
              <w:p w14:paraId="71C22819" w14:textId="77777777" w:rsidR="008C2C37" w:rsidRDefault="008C2C37">
                <w:pPr>
                  <w:keepNext/>
                  <w:rPr>
                    <w:rFonts w:ascii="Calibri"/>
                    <w:color w:val="000000"/>
                    <w:sz w:val="20"/>
                  </w:rPr>
                </w:pPr>
                <w:r>
                  <w:rPr>
                    <w:rFonts w:ascii="Calibri"/>
                    <w:color w:val="000000"/>
                    <w:sz w:val="20"/>
                  </w:rPr>
                  <w:t>Commercial real estate</w:t>
                </w:r>
              </w:p>
            </w:tc>
            <w:tc>
              <w:tcPr>
                <w:tcW w:w="65" w:type="pct"/>
                <w:shd w:val="clear" w:color="auto" w:fill="FFFFFF"/>
                <w:tcMar>
                  <w:top w:w="15" w:type="dxa"/>
                  <w:left w:w="0" w:type="dxa"/>
                  <w:bottom w:w="0" w:type="dxa"/>
                  <w:right w:w="15" w:type="dxa"/>
                </w:tcMar>
                <w:vAlign w:val="bottom"/>
              </w:tcPr>
              <w:p w14:paraId="40894603"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D4FAF8A" w14:textId="77777777" w:rsidR="008C2C37" w:rsidRDefault="008C2C37">
                <w:pPr>
                  <w:rPr>
                    <w:rFonts w:ascii="Calibri"/>
                    <w:color w:val="000000"/>
                    <w:sz w:val="20"/>
                  </w:rPr>
                </w:pPr>
                <w:r>
                  <w:rPr>
                    <w:rFonts w:ascii="Calibri"/>
                    <w:color w:val="000000"/>
                    <w:sz w:val="20"/>
                  </w:rPr>
                  <w:t xml:space="preserve"> </w:t>
                </w:r>
              </w:p>
            </w:tc>
            <w:tc>
              <w:tcPr>
                <w:tcW w:w="333" w:type="pct"/>
                <w:shd w:val="clear" w:color="auto" w:fill="FFFFFF"/>
                <w:noWrap/>
                <w:tcMar>
                  <w:top w:w="15" w:type="dxa"/>
                  <w:left w:w="0" w:type="dxa"/>
                  <w:bottom w:w="0" w:type="dxa"/>
                  <w:right w:w="15" w:type="dxa"/>
                </w:tcMar>
                <w:vAlign w:val="bottom"/>
              </w:tcPr>
              <w:p w14:paraId="250E21CB" w14:textId="77777777" w:rsidR="008C2C37" w:rsidRDefault="008C2C37">
                <w:pPr>
                  <w:jc w:val="center"/>
                  <w:rPr>
                    <w:rFonts w:ascii="Calibri"/>
                    <w:color w:val="000000"/>
                    <w:sz w:val="20"/>
                  </w:rPr>
                </w:pPr>
                <w:r>
                  <w:rPr>
                    <w:rFonts w:ascii="Calibri"/>
                    <w:color w:val="000000"/>
                    <w:sz w:val="20"/>
                  </w:rPr>
                  <w:t>14</w:t>
                </w:r>
              </w:p>
            </w:tc>
            <w:tc>
              <w:tcPr>
                <w:tcW w:w="50" w:type="pct"/>
                <w:shd w:val="clear" w:color="auto" w:fill="FFFFFF"/>
                <w:noWrap/>
                <w:tcMar>
                  <w:top w:w="15" w:type="dxa"/>
                  <w:left w:w="0" w:type="dxa"/>
                  <w:bottom w:w="0" w:type="dxa"/>
                  <w:right w:w="15" w:type="dxa"/>
                </w:tcMar>
                <w:vAlign w:val="bottom"/>
              </w:tcPr>
              <w:p w14:paraId="2A332883"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07A5F32C"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46EA0B3" w14:textId="77777777" w:rsidR="008C2C37" w:rsidRDefault="008C2C37">
                <w:pPr>
                  <w:rPr>
                    <w:rFonts w:ascii="Calibri"/>
                    <w:color w:val="000000"/>
                    <w:sz w:val="20"/>
                  </w:rPr>
                </w:pPr>
                <w:r>
                  <w:rPr>
                    <w:rFonts w:ascii="Calibri"/>
                    <w:color w:val="000000"/>
                    <w:sz w:val="20"/>
                  </w:rPr>
                  <w:t xml:space="preserve"> </w:t>
                </w:r>
              </w:p>
            </w:tc>
            <w:tc>
              <w:tcPr>
                <w:tcW w:w="503" w:type="pct"/>
                <w:shd w:val="clear" w:color="auto" w:fill="FFFFFF"/>
                <w:noWrap/>
                <w:tcMar>
                  <w:top w:w="15" w:type="dxa"/>
                  <w:left w:w="0" w:type="dxa"/>
                  <w:bottom w:w="0" w:type="dxa"/>
                  <w:right w:w="15" w:type="dxa"/>
                </w:tcMar>
                <w:vAlign w:val="bottom"/>
              </w:tcPr>
              <w:p w14:paraId="2317B1F8" w14:textId="77777777" w:rsidR="008C2C37" w:rsidRDefault="008C2C37">
                <w:pPr>
                  <w:jc w:val="right"/>
                  <w:rPr>
                    <w:rFonts w:ascii="Calibri"/>
                    <w:color w:val="000000"/>
                    <w:sz w:val="20"/>
                  </w:rPr>
                </w:pPr>
                <w:r>
                  <w:rPr>
                    <w:rFonts w:ascii="Calibri"/>
                    <w:color w:val="000000"/>
                    <w:sz w:val="20"/>
                  </w:rPr>
                  <w:t>19,446,112</w:t>
                </w:r>
              </w:p>
            </w:tc>
            <w:tc>
              <w:tcPr>
                <w:tcW w:w="50" w:type="pct"/>
                <w:shd w:val="clear" w:color="auto" w:fill="FFFFFF"/>
                <w:noWrap/>
                <w:tcMar>
                  <w:top w:w="15" w:type="dxa"/>
                  <w:left w:w="0" w:type="dxa"/>
                  <w:bottom w:w="0" w:type="dxa"/>
                  <w:right w:w="15" w:type="dxa"/>
                </w:tcMar>
                <w:vAlign w:val="bottom"/>
              </w:tcPr>
              <w:p w14:paraId="5F1340BF"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00A7CE6F" w14:textId="77777777" w:rsidR="008C2C37" w:rsidRDefault="008C2C37">
                <w:pPr>
                  <w:rPr>
                    <w:rFonts w:ascii="Calibri"/>
                    <w:color w:val="000000"/>
                    <w:sz w:val="20"/>
                  </w:rPr>
                </w:pPr>
                <w:r>
                  <w:rPr>
                    <w:rFonts w:ascii="Calibri"/>
                    <w:color w:val="000000"/>
                    <w:sz w:val="20"/>
                  </w:rPr>
                  <w:t xml:space="preserve"> </w:t>
                </w:r>
              </w:p>
            </w:tc>
            <w:tc>
              <w:tcPr>
                <w:tcW w:w="553" w:type="pct"/>
                <w:gridSpan w:val="2"/>
                <w:shd w:val="clear" w:color="auto" w:fill="FFFFFF"/>
                <w:tcMar>
                  <w:top w:w="15" w:type="dxa"/>
                  <w:left w:w="0" w:type="dxa"/>
                  <w:bottom w:w="0" w:type="dxa"/>
                  <w:right w:w="15" w:type="dxa"/>
                </w:tcMar>
                <w:vAlign w:val="bottom"/>
              </w:tcPr>
              <w:p w14:paraId="40A73325" w14:textId="77777777" w:rsidR="008C2C37" w:rsidRDefault="008C2C37">
                <w:pPr>
                  <w:jc w:val="center"/>
                  <w:rPr>
                    <w:rFonts w:ascii="Calibri"/>
                    <w:color w:val="000000"/>
                    <w:sz w:val="20"/>
                  </w:rPr>
                </w:pPr>
                <w:r>
                  <w:rPr>
                    <w:rFonts w:ascii="Calibri"/>
                    <w:color w:val="000000"/>
                    <w:sz w:val="20"/>
                  </w:rPr>
                  <w:t>3.3%</w:t>
                </w:r>
              </w:p>
            </w:tc>
            <w:tc>
              <w:tcPr>
                <w:tcW w:w="50" w:type="pct"/>
                <w:shd w:val="clear" w:color="auto" w:fill="FFFFFF"/>
                <w:noWrap/>
                <w:tcMar>
                  <w:top w:w="15" w:type="dxa"/>
                  <w:left w:w="0" w:type="dxa"/>
                  <w:bottom w:w="0" w:type="dxa"/>
                  <w:right w:w="15" w:type="dxa"/>
                </w:tcMar>
                <w:vAlign w:val="bottom"/>
              </w:tcPr>
              <w:p w14:paraId="6961DC78"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6A53DE94"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2E8EBEB1" w14:textId="77777777" w:rsidR="008C2C37" w:rsidRDefault="008C2C37">
                <w:pPr>
                  <w:rPr>
                    <w:rFonts w:ascii="Calibri"/>
                    <w:color w:val="000000"/>
                    <w:sz w:val="20"/>
                  </w:rPr>
                </w:pPr>
                <w:r>
                  <w:rPr>
                    <w:rFonts w:ascii="Calibri"/>
                    <w:color w:val="000000"/>
                    <w:sz w:val="20"/>
                  </w:rPr>
                  <w:t xml:space="preserve"> </w:t>
                </w:r>
              </w:p>
            </w:tc>
            <w:tc>
              <w:tcPr>
                <w:tcW w:w="333" w:type="pct"/>
                <w:shd w:val="clear" w:color="auto" w:fill="FFFFFF"/>
                <w:noWrap/>
                <w:tcMar>
                  <w:top w:w="15" w:type="dxa"/>
                  <w:left w:w="0" w:type="dxa"/>
                  <w:bottom w:w="0" w:type="dxa"/>
                  <w:right w:w="15" w:type="dxa"/>
                </w:tcMar>
                <w:vAlign w:val="bottom"/>
              </w:tcPr>
              <w:p w14:paraId="3536477F"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7E6199A4"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015025DD"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AC9375E" w14:textId="77777777" w:rsidR="008C2C37" w:rsidRDefault="008C2C37">
                <w:pPr>
                  <w:rPr>
                    <w:rFonts w:ascii="Calibri"/>
                    <w:color w:val="000000"/>
                    <w:sz w:val="20"/>
                  </w:rPr>
                </w:pPr>
                <w:r>
                  <w:rPr>
                    <w:rFonts w:ascii="Calibri"/>
                    <w:color w:val="000000"/>
                    <w:sz w:val="20"/>
                  </w:rPr>
                  <w:t xml:space="preserve"> </w:t>
                </w:r>
              </w:p>
            </w:tc>
            <w:tc>
              <w:tcPr>
                <w:tcW w:w="503" w:type="pct"/>
                <w:shd w:val="clear" w:color="auto" w:fill="FFFFFF"/>
                <w:noWrap/>
                <w:tcMar>
                  <w:top w:w="15" w:type="dxa"/>
                  <w:left w:w="0" w:type="dxa"/>
                  <w:bottom w:w="0" w:type="dxa"/>
                  <w:right w:w="15" w:type="dxa"/>
                </w:tcMar>
                <w:vAlign w:val="bottom"/>
              </w:tcPr>
              <w:p w14:paraId="145E182C" w14:textId="77777777" w:rsidR="008C2C37" w:rsidRDefault="008C2C37">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78D21B22"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2F67EEAC" w14:textId="77777777" w:rsidR="008C2C37" w:rsidRDefault="008C2C37">
                <w:pPr>
                  <w:rPr>
                    <w:rFonts w:ascii="Calibri"/>
                    <w:color w:val="000000"/>
                    <w:sz w:val="20"/>
                  </w:rPr>
                </w:pPr>
                <w:r>
                  <w:rPr>
                    <w:rFonts w:ascii="Calibri"/>
                    <w:color w:val="000000"/>
                    <w:sz w:val="20"/>
                  </w:rPr>
                  <w:t xml:space="preserve"> </w:t>
                </w:r>
              </w:p>
            </w:tc>
            <w:tc>
              <w:tcPr>
                <w:tcW w:w="553" w:type="pct"/>
                <w:gridSpan w:val="2"/>
                <w:shd w:val="clear" w:color="auto" w:fill="FFFFFF"/>
                <w:tcMar>
                  <w:top w:w="15" w:type="dxa"/>
                  <w:left w:w="0" w:type="dxa"/>
                  <w:bottom w:w="0" w:type="dxa"/>
                  <w:right w:w="15" w:type="dxa"/>
                </w:tcMar>
                <w:vAlign w:val="bottom"/>
              </w:tcPr>
              <w:p w14:paraId="413C181F" w14:textId="77777777" w:rsidR="008C2C37" w:rsidRDefault="008C2C37">
                <w:pPr>
                  <w:jc w:val="center"/>
                  <w:rPr>
                    <w:rFonts w:ascii="Calibri"/>
                    <w:color w:val="000000"/>
                    <w:sz w:val="20"/>
                  </w:rPr>
                </w:pPr>
                <w:r>
                  <w:rPr>
                    <w:rFonts w:ascii="Calibri"/>
                    <w:color w:val="000000"/>
                    <w:sz w:val="20"/>
                  </w:rPr>
                  <w:t>0.0%</w:t>
                </w:r>
              </w:p>
            </w:tc>
            <w:tc>
              <w:tcPr>
                <w:tcW w:w="50" w:type="pct"/>
                <w:shd w:val="clear" w:color="auto" w:fill="FFFFFF"/>
                <w:noWrap/>
                <w:tcMar>
                  <w:top w:w="15" w:type="dxa"/>
                  <w:left w:w="0" w:type="dxa"/>
                  <w:bottom w:w="0" w:type="dxa"/>
                  <w:right w:w="15" w:type="dxa"/>
                </w:tcMar>
                <w:vAlign w:val="bottom"/>
              </w:tcPr>
              <w:p w14:paraId="39763CB9" w14:textId="77777777" w:rsidR="008C2C37" w:rsidRDefault="008C2C37">
                <w:pPr>
                  <w:rPr>
                    <w:rFonts w:ascii="Calibri"/>
                    <w:color w:val="000000"/>
                    <w:sz w:val="20"/>
                  </w:rPr>
                </w:pPr>
                <w:r>
                  <w:rPr>
                    <w:rFonts w:ascii="Calibri"/>
                    <w:color w:val="000000"/>
                    <w:sz w:val="20"/>
                  </w:rPr>
                  <w:t xml:space="preserve"> </w:t>
                </w:r>
              </w:p>
            </w:tc>
          </w:tr>
          <w:tr w:rsidR="008C2C37" w14:paraId="09C9282E" w14:textId="77777777">
            <w:trPr>
              <w:cantSplit/>
            </w:trPr>
            <w:tc>
              <w:tcPr>
                <w:tcW w:w="1326" w:type="pct"/>
                <w:shd w:val="clear" w:color="auto" w:fill="CFF0FC"/>
                <w:tcMar>
                  <w:top w:w="15" w:type="dxa"/>
                  <w:left w:w="0" w:type="dxa"/>
                  <w:bottom w:w="0" w:type="dxa"/>
                  <w:right w:w="15" w:type="dxa"/>
                </w:tcMar>
              </w:tcPr>
              <w:p w14:paraId="275B0817" w14:textId="77777777" w:rsidR="008C2C37" w:rsidRDefault="008C2C37">
                <w:pPr>
                  <w:keepNext/>
                  <w:rPr>
                    <w:rFonts w:ascii="Calibri"/>
                    <w:color w:val="000000"/>
                    <w:sz w:val="20"/>
                  </w:rPr>
                </w:pPr>
                <w:r>
                  <w:rPr>
                    <w:rFonts w:ascii="Calibri"/>
                    <w:color w:val="000000"/>
                    <w:sz w:val="20"/>
                  </w:rPr>
                  <w:t>Multi-family real estate</w:t>
                </w:r>
              </w:p>
            </w:tc>
            <w:tc>
              <w:tcPr>
                <w:tcW w:w="65" w:type="pct"/>
                <w:shd w:val="clear" w:color="auto" w:fill="CFF0FC"/>
                <w:tcMar>
                  <w:top w:w="15" w:type="dxa"/>
                  <w:left w:w="0" w:type="dxa"/>
                  <w:bottom w:w="0" w:type="dxa"/>
                  <w:right w:w="15" w:type="dxa"/>
                </w:tcMar>
                <w:vAlign w:val="bottom"/>
              </w:tcPr>
              <w:p w14:paraId="6A521E50"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B61D999" w14:textId="77777777" w:rsidR="008C2C37" w:rsidRDefault="008C2C37">
                <w:pPr>
                  <w:rPr>
                    <w:rFonts w:ascii="Calibri"/>
                    <w:color w:val="000000"/>
                    <w:sz w:val="20"/>
                  </w:rPr>
                </w:pPr>
                <w:r>
                  <w:rPr>
                    <w:rFonts w:ascii="Calibri"/>
                    <w:color w:val="000000"/>
                    <w:sz w:val="20"/>
                  </w:rPr>
                  <w:t xml:space="preserve"> </w:t>
                </w:r>
              </w:p>
            </w:tc>
            <w:tc>
              <w:tcPr>
                <w:tcW w:w="333" w:type="pct"/>
                <w:shd w:val="clear" w:color="auto" w:fill="CFF0FC"/>
                <w:noWrap/>
                <w:tcMar>
                  <w:top w:w="15" w:type="dxa"/>
                  <w:left w:w="0" w:type="dxa"/>
                  <w:bottom w:w="0" w:type="dxa"/>
                  <w:right w:w="15" w:type="dxa"/>
                </w:tcMar>
                <w:vAlign w:val="bottom"/>
              </w:tcPr>
              <w:p w14:paraId="23E5AA0F" w14:textId="77777777" w:rsidR="008C2C37" w:rsidRDefault="008C2C37">
                <w:pPr>
                  <w:jc w:val="center"/>
                  <w:rPr>
                    <w:rFonts w:ascii="Calibri"/>
                    <w:color w:val="000000"/>
                    <w:sz w:val="20"/>
                  </w:rPr>
                </w:pPr>
                <w:r>
                  <w:rPr>
                    <w:rFonts w:ascii="Calibri"/>
                    <w:color w:val="000000"/>
                    <w:sz w:val="20"/>
                  </w:rPr>
                  <w:t>10</w:t>
                </w:r>
              </w:p>
            </w:tc>
            <w:tc>
              <w:tcPr>
                <w:tcW w:w="50" w:type="pct"/>
                <w:shd w:val="clear" w:color="auto" w:fill="CFF0FC"/>
                <w:noWrap/>
                <w:tcMar>
                  <w:top w:w="15" w:type="dxa"/>
                  <w:left w:w="0" w:type="dxa"/>
                  <w:bottom w:w="0" w:type="dxa"/>
                  <w:right w:w="15" w:type="dxa"/>
                </w:tcMar>
                <w:vAlign w:val="bottom"/>
              </w:tcPr>
              <w:p w14:paraId="3CB9D572"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403E41A4"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F691881" w14:textId="77777777" w:rsidR="008C2C37" w:rsidRDefault="008C2C37">
                <w:pPr>
                  <w:rPr>
                    <w:rFonts w:ascii="Calibri"/>
                    <w:color w:val="000000"/>
                    <w:sz w:val="20"/>
                  </w:rPr>
                </w:pPr>
                <w:r>
                  <w:rPr>
                    <w:rFonts w:ascii="Calibri"/>
                    <w:color w:val="000000"/>
                    <w:sz w:val="20"/>
                  </w:rPr>
                  <w:t xml:space="preserve"> </w:t>
                </w:r>
              </w:p>
            </w:tc>
            <w:tc>
              <w:tcPr>
                <w:tcW w:w="503" w:type="pct"/>
                <w:shd w:val="clear" w:color="auto" w:fill="CFF0FC"/>
                <w:noWrap/>
                <w:tcMar>
                  <w:top w:w="15" w:type="dxa"/>
                  <w:left w:w="0" w:type="dxa"/>
                  <w:bottom w:w="0" w:type="dxa"/>
                  <w:right w:w="15" w:type="dxa"/>
                </w:tcMar>
                <w:vAlign w:val="bottom"/>
              </w:tcPr>
              <w:p w14:paraId="6DDDE43A" w14:textId="77777777" w:rsidR="008C2C37" w:rsidRDefault="008C2C37">
                <w:pPr>
                  <w:jc w:val="right"/>
                  <w:rPr>
                    <w:rFonts w:ascii="Calibri"/>
                    <w:color w:val="000000"/>
                    <w:sz w:val="20"/>
                  </w:rPr>
                </w:pPr>
                <w:r>
                  <w:rPr>
                    <w:rFonts w:ascii="Calibri"/>
                    <w:color w:val="000000"/>
                    <w:sz w:val="20"/>
                  </w:rPr>
                  <w:t>5,261,485</w:t>
                </w:r>
              </w:p>
            </w:tc>
            <w:tc>
              <w:tcPr>
                <w:tcW w:w="50" w:type="pct"/>
                <w:shd w:val="clear" w:color="auto" w:fill="CFF0FC"/>
                <w:noWrap/>
                <w:tcMar>
                  <w:top w:w="15" w:type="dxa"/>
                  <w:left w:w="0" w:type="dxa"/>
                  <w:bottom w:w="0" w:type="dxa"/>
                  <w:right w:w="15" w:type="dxa"/>
                </w:tcMar>
                <w:vAlign w:val="bottom"/>
              </w:tcPr>
              <w:p w14:paraId="74897D54"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5999EDE2" w14:textId="77777777" w:rsidR="008C2C37" w:rsidRDefault="008C2C37">
                <w:pPr>
                  <w:rPr>
                    <w:rFonts w:ascii="Calibri"/>
                    <w:color w:val="000000"/>
                    <w:sz w:val="20"/>
                  </w:rPr>
                </w:pPr>
                <w:r>
                  <w:rPr>
                    <w:rFonts w:ascii="Calibri"/>
                    <w:color w:val="000000"/>
                    <w:sz w:val="20"/>
                  </w:rPr>
                  <w:t xml:space="preserve"> </w:t>
                </w:r>
              </w:p>
            </w:tc>
            <w:tc>
              <w:tcPr>
                <w:tcW w:w="553" w:type="pct"/>
                <w:gridSpan w:val="2"/>
                <w:shd w:val="clear" w:color="auto" w:fill="CFF0FC"/>
                <w:tcMar>
                  <w:top w:w="15" w:type="dxa"/>
                  <w:left w:w="0" w:type="dxa"/>
                  <w:bottom w:w="0" w:type="dxa"/>
                  <w:right w:w="15" w:type="dxa"/>
                </w:tcMar>
                <w:vAlign w:val="bottom"/>
              </w:tcPr>
              <w:p w14:paraId="0147E660" w14:textId="77777777" w:rsidR="008C2C37" w:rsidRDefault="008C2C37">
                <w:pPr>
                  <w:jc w:val="center"/>
                  <w:rPr>
                    <w:rFonts w:ascii="Calibri"/>
                    <w:color w:val="000000"/>
                    <w:sz w:val="20"/>
                  </w:rPr>
                </w:pPr>
                <w:r>
                  <w:rPr>
                    <w:rFonts w:ascii="Calibri"/>
                    <w:color w:val="000000"/>
                    <w:sz w:val="20"/>
                  </w:rPr>
                  <w:t>0.9%</w:t>
                </w:r>
              </w:p>
            </w:tc>
            <w:tc>
              <w:tcPr>
                <w:tcW w:w="50" w:type="pct"/>
                <w:shd w:val="clear" w:color="auto" w:fill="CFF0FC"/>
                <w:noWrap/>
                <w:tcMar>
                  <w:top w:w="15" w:type="dxa"/>
                  <w:left w:w="0" w:type="dxa"/>
                  <w:bottom w:w="0" w:type="dxa"/>
                  <w:right w:w="15" w:type="dxa"/>
                </w:tcMar>
                <w:vAlign w:val="bottom"/>
              </w:tcPr>
              <w:p w14:paraId="3E5D9A3C"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27F2D3D4"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9B53DC4" w14:textId="77777777" w:rsidR="008C2C37" w:rsidRDefault="008C2C37">
                <w:pPr>
                  <w:rPr>
                    <w:rFonts w:ascii="Calibri"/>
                    <w:color w:val="000000"/>
                    <w:sz w:val="20"/>
                  </w:rPr>
                </w:pPr>
                <w:r>
                  <w:rPr>
                    <w:rFonts w:ascii="Calibri"/>
                    <w:color w:val="000000"/>
                    <w:sz w:val="20"/>
                  </w:rPr>
                  <w:t xml:space="preserve"> </w:t>
                </w:r>
              </w:p>
            </w:tc>
            <w:tc>
              <w:tcPr>
                <w:tcW w:w="333" w:type="pct"/>
                <w:shd w:val="clear" w:color="auto" w:fill="CFF0FC"/>
                <w:noWrap/>
                <w:tcMar>
                  <w:top w:w="15" w:type="dxa"/>
                  <w:left w:w="0" w:type="dxa"/>
                  <w:bottom w:w="0" w:type="dxa"/>
                  <w:right w:w="15" w:type="dxa"/>
                </w:tcMar>
                <w:vAlign w:val="bottom"/>
              </w:tcPr>
              <w:p w14:paraId="290F4233"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496B68A2"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3899DAFB"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17297A5" w14:textId="77777777" w:rsidR="008C2C37" w:rsidRDefault="008C2C37">
                <w:pPr>
                  <w:rPr>
                    <w:rFonts w:ascii="Calibri"/>
                    <w:color w:val="000000"/>
                    <w:sz w:val="20"/>
                  </w:rPr>
                </w:pPr>
                <w:r>
                  <w:rPr>
                    <w:rFonts w:ascii="Calibri"/>
                    <w:color w:val="000000"/>
                    <w:sz w:val="20"/>
                  </w:rPr>
                  <w:t xml:space="preserve"> </w:t>
                </w:r>
              </w:p>
            </w:tc>
            <w:tc>
              <w:tcPr>
                <w:tcW w:w="503" w:type="pct"/>
                <w:shd w:val="clear" w:color="auto" w:fill="CFF0FC"/>
                <w:noWrap/>
                <w:tcMar>
                  <w:top w:w="15" w:type="dxa"/>
                  <w:left w:w="0" w:type="dxa"/>
                  <w:bottom w:w="0" w:type="dxa"/>
                  <w:right w:w="15" w:type="dxa"/>
                </w:tcMar>
                <w:vAlign w:val="bottom"/>
              </w:tcPr>
              <w:p w14:paraId="24303ADB" w14:textId="77777777" w:rsidR="008C2C37" w:rsidRDefault="008C2C37">
                <w:pPr>
                  <w:jc w:val="right"/>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694EB9F3"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0C40952E" w14:textId="77777777" w:rsidR="008C2C37" w:rsidRDefault="008C2C37">
                <w:pPr>
                  <w:rPr>
                    <w:rFonts w:ascii="Calibri"/>
                    <w:color w:val="000000"/>
                    <w:sz w:val="20"/>
                  </w:rPr>
                </w:pPr>
                <w:r>
                  <w:rPr>
                    <w:rFonts w:ascii="Calibri"/>
                    <w:color w:val="000000"/>
                    <w:sz w:val="20"/>
                  </w:rPr>
                  <w:t xml:space="preserve"> </w:t>
                </w:r>
              </w:p>
            </w:tc>
            <w:tc>
              <w:tcPr>
                <w:tcW w:w="553" w:type="pct"/>
                <w:gridSpan w:val="2"/>
                <w:shd w:val="clear" w:color="auto" w:fill="CFF0FC"/>
                <w:tcMar>
                  <w:top w:w="15" w:type="dxa"/>
                  <w:left w:w="0" w:type="dxa"/>
                  <w:bottom w:w="0" w:type="dxa"/>
                  <w:right w:w="15" w:type="dxa"/>
                </w:tcMar>
                <w:vAlign w:val="bottom"/>
              </w:tcPr>
              <w:p w14:paraId="24A7C51A" w14:textId="77777777" w:rsidR="008C2C37" w:rsidRDefault="008C2C37">
                <w:pPr>
                  <w:jc w:val="center"/>
                  <w:rPr>
                    <w:rFonts w:ascii="Calibri"/>
                    <w:color w:val="000000"/>
                    <w:sz w:val="20"/>
                  </w:rPr>
                </w:pPr>
                <w:r>
                  <w:rPr>
                    <w:rFonts w:ascii="Calibri"/>
                    <w:color w:val="000000"/>
                    <w:sz w:val="20"/>
                  </w:rPr>
                  <w:t>0.0%</w:t>
                </w:r>
              </w:p>
            </w:tc>
            <w:tc>
              <w:tcPr>
                <w:tcW w:w="50" w:type="pct"/>
                <w:shd w:val="clear" w:color="auto" w:fill="CFF0FC"/>
                <w:noWrap/>
                <w:tcMar>
                  <w:top w:w="15" w:type="dxa"/>
                  <w:left w:w="0" w:type="dxa"/>
                  <w:bottom w:w="0" w:type="dxa"/>
                  <w:right w:w="15" w:type="dxa"/>
                </w:tcMar>
                <w:vAlign w:val="bottom"/>
              </w:tcPr>
              <w:p w14:paraId="5341438C" w14:textId="77777777" w:rsidR="008C2C37" w:rsidRDefault="008C2C37">
                <w:pPr>
                  <w:rPr>
                    <w:rFonts w:ascii="Calibri"/>
                    <w:color w:val="000000"/>
                    <w:sz w:val="20"/>
                  </w:rPr>
                </w:pPr>
                <w:r>
                  <w:rPr>
                    <w:rFonts w:ascii="Calibri"/>
                    <w:color w:val="000000"/>
                    <w:sz w:val="20"/>
                  </w:rPr>
                  <w:t xml:space="preserve"> </w:t>
                </w:r>
              </w:p>
            </w:tc>
          </w:tr>
          <w:tr w:rsidR="008C2C37" w14:paraId="508BDDE7" w14:textId="77777777">
            <w:trPr>
              <w:cantSplit/>
            </w:trPr>
            <w:tc>
              <w:tcPr>
                <w:tcW w:w="1326" w:type="pct"/>
                <w:shd w:val="clear" w:color="auto" w:fill="FFFFFF"/>
                <w:tcMar>
                  <w:top w:w="15" w:type="dxa"/>
                  <w:left w:w="0" w:type="dxa"/>
                  <w:bottom w:w="0" w:type="dxa"/>
                  <w:right w:w="15" w:type="dxa"/>
                </w:tcMar>
              </w:tcPr>
              <w:p w14:paraId="051729C8" w14:textId="77777777" w:rsidR="008C2C37" w:rsidRDefault="008C2C37">
                <w:pPr>
                  <w:keepNext/>
                  <w:rPr>
                    <w:rFonts w:ascii="Calibri"/>
                    <w:color w:val="000000"/>
                    <w:sz w:val="20"/>
                  </w:rPr>
                </w:pPr>
                <w:r>
                  <w:rPr>
                    <w:rFonts w:ascii="Calibri"/>
                    <w:color w:val="000000"/>
                    <w:sz w:val="20"/>
                  </w:rPr>
                  <w:t>Commercial and industrial</w:t>
                </w:r>
              </w:p>
            </w:tc>
            <w:tc>
              <w:tcPr>
                <w:tcW w:w="65" w:type="pct"/>
                <w:shd w:val="clear" w:color="auto" w:fill="FFFFFF"/>
                <w:tcMar>
                  <w:top w:w="15" w:type="dxa"/>
                  <w:left w:w="0" w:type="dxa"/>
                  <w:bottom w:w="0" w:type="dxa"/>
                  <w:right w:w="15" w:type="dxa"/>
                </w:tcMar>
                <w:vAlign w:val="bottom"/>
              </w:tcPr>
              <w:p w14:paraId="64AA928E"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EC53490" w14:textId="77777777" w:rsidR="008C2C37" w:rsidRDefault="008C2C37">
                <w:pPr>
                  <w:rPr>
                    <w:rFonts w:ascii="Calibri"/>
                    <w:color w:val="000000"/>
                    <w:sz w:val="20"/>
                  </w:rPr>
                </w:pPr>
                <w:r>
                  <w:rPr>
                    <w:rFonts w:ascii="Calibri"/>
                    <w:color w:val="000000"/>
                    <w:sz w:val="20"/>
                  </w:rPr>
                  <w:t xml:space="preserve"> </w:t>
                </w:r>
              </w:p>
            </w:tc>
            <w:tc>
              <w:tcPr>
                <w:tcW w:w="333" w:type="pct"/>
                <w:shd w:val="clear" w:color="auto" w:fill="FFFFFF"/>
                <w:noWrap/>
                <w:tcMar>
                  <w:top w:w="15" w:type="dxa"/>
                  <w:left w:w="0" w:type="dxa"/>
                  <w:bottom w:w="0" w:type="dxa"/>
                  <w:right w:w="15" w:type="dxa"/>
                </w:tcMar>
                <w:vAlign w:val="bottom"/>
              </w:tcPr>
              <w:p w14:paraId="6E7E767D" w14:textId="77777777" w:rsidR="008C2C37" w:rsidRDefault="008C2C37">
                <w:pPr>
                  <w:jc w:val="center"/>
                  <w:rPr>
                    <w:rFonts w:ascii="Calibri"/>
                    <w:color w:val="000000"/>
                    <w:sz w:val="20"/>
                  </w:rPr>
                </w:pPr>
                <w:r>
                  <w:rPr>
                    <w:rFonts w:ascii="Calibri"/>
                    <w:color w:val="000000"/>
                    <w:sz w:val="20"/>
                  </w:rPr>
                  <w:t>2</w:t>
                </w:r>
              </w:p>
            </w:tc>
            <w:tc>
              <w:tcPr>
                <w:tcW w:w="50" w:type="pct"/>
                <w:shd w:val="clear" w:color="auto" w:fill="FFFFFF"/>
                <w:noWrap/>
                <w:tcMar>
                  <w:top w:w="15" w:type="dxa"/>
                  <w:left w:w="0" w:type="dxa"/>
                  <w:bottom w:w="0" w:type="dxa"/>
                  <w:right w:w="15" w:type="dxa"/>
                </w:tcMar>
                <w:vAlign w:val="bottom"/>
              </w:tcPr>
              <w:p w14:paraId="0494951F"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5329758A"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88F2092" w14:textId="77777777" w:rsidR="008C2C37" w:rsidRDefault="008C2C37">
                <w:pPr>
                  <w:rPr>
                    <w:rFonts w:ascii="Calibri"/>
                    <w:color w:val="000000"/>
                    <w:sz w:val="20"/>
                  </w:rPr>
                </w:pPr>
                <w:r>
                  <w:rPr>
                    <w:rFonts w:ascii="Calibri"/>
                    <w:color w:val="000000"/>
                    <w:sz w:val="20"/>
                  </w:rPr>
                  <w:t xml:space="preserve"> </w:t>
                </w:r>
              </w:p>
            </w:tc>
            <w:tc>
              <w:tcPr>
                <w:tcW w:w="503" w:type="pct"/>
                <w:shd w:val="clear" w:color="auto" w:fill="FFFFFF"/>
                <w:noWrap/>
                <w:tcMar>
                  <w:top w:w="15" w:type="dxa"/>
                  <w:left w:w="0" w:type="dxa"/>
                  <w:bottom w:w="0" w:type="dxa"/>
                  <w:right w:w="15" w:type="dxa"/>
                </w:tcMar>
                <w:vAlign w:val="bottom"/>
              </w:tcPr>
              <w:p w14:paraId="25E18165" w14:textId="77777777" w:rsidR="008C2C37" w:rsidRDefault="008C2C37">
                <w:pPr>
                  <w:jc w:val="right"/>
                  <w:rPr>
                    <w:rFonts w:ascii="Calibri"/>
                    <w:color w:val="000000"/>
                    <w:sz w:val="20"/>
                  </w:rPr>
                </w:pPr>
                <w:r>
                  <w:rPr>
                    <w:rFonts w:ascii="Calibri"/>
                    <w:color w:val="000000"/>
                    <w:sz w:val="20"/>
                  </w:rPr>
                  <w:t>485,075</w:t>
                </w:r>
              </w:p>
            </w:tc>
            <w:tc>
              <w:tcPr>
                <w:tcW w:w="50" w:type="pct"/>
                <w:shd w:val="clear" w:color="auto" w:fill="FFFFFF"/>
                <w:noWrap/>
                <w:tcMar>
                  <w:top w:w="15" w:type="dxa"/>
                  <w:left w:w="0" w:type="dxa"/>
                  <w:bottom w:w="0" w:type="dxa"/>
                  <w:right w:w="15" w:type="dxa"/>
                </w:tcMar>
                <w:vAlign w:val="bottom"/>
              </w:tcPr>
              <w:p w14:paraId="572DB903"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101F8035" w14:textId="77777777" w:rsidR="008C2C37" w:rsidRDefault="008C2C37">
                <w:pPr>
                  <w:rPr>
                    <w:rFonts w:ascii="Calibri"/>
                    <w:color w:val="000000"/>
                    <w:sz w:val="20"/>
                  </w:rPr>
                </w:pPr>
                <w:r>
                  <w:rPr>
                    <w:rFonts w:ascii="Calibri"/>
                    <w:color w:val="000000"/>
                    <w:sz w:val="20"/>
                  </w:rPr>
                  <w:t xml:space="preserve"> </w:t>
                </w:r>
              </w:p>
            </w:tc>
            <w:tc>
              <w:tcPr>
                <w:tcW w:w="553" w:type="pct"/>
                <w:gridSpan w:val="2"/>
                <w:shd w:val="clear" w:color="auto" w:fill="FFFFFF"/>
                <w:tcMar>
                  <w:top w:w="15" w:type="dxa"/>
                  <w:left w:w="0" w:type="dxa"/>
                  <w:bottom w:w="0" w:type="dxa"/>
                  <w:right w:w="15" w:type="dxa"/>
                </w:tcMar>
                <w:vAlign w:val="bottom"/>
              </w:tcPr>
              <w:p w14:paraId="23863C1C" w14:textId="77777777" w:rsidR="008C2C37" w:rsidRDefault="008C2C37">
                <w:pPr>
                  <w:jc w:val="center"/>
                  <w:rPr>
                    <w:rFonts w:ascii="Calibri"/>
                    <w:color w:val="000000"/>
                    <w:sz w:val="20"/>
                  </w:rPr>
                </w:pPr>
                <w:r>
                  <w:rPr>
                    <w:rFonts w:ascii="Calibri"/>
                    <w:color w:val="000000"/>
                    <w:sz w:val="20"/>
                  </w:rPr>
                  <w:t>0.1%</w:t>
                </w:r>
              </w:p>
            </w:tc>
            <w:tc>
              <w:tcPr>
                <w:tcW w:w="50" w:type="pct"/>
                <w:shd w:val="clear" w:color="auto" w:fill="FFFFFF"/>
                <w:noWrap/>
                <w:tcMar>
                  <w:top w:w="15" w:type="dxa"/>
                  <w:left w:w="0" w:type="dxa"/>
                  <w:bottom w:w="0" w:type="dxa"/>
                  <w:right w:w="15" w:type="dxa"/>
                </w:tcMar>
                <w:vAlign w:val="bottom"/>
              </w:tcPr>
              <w:p w14:paraId="6FBCC341"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379B8096"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3A0CA97" w14:textId="77777777" w:rsidR="008C2C37" w:rsidRDefault="008C2C37">
                <w:pPr>
                  <w:rPr>
                    <w:rFonts w:ascii="Calibri"/>
                    <w:color w:val="000000"/>
                    <w:sz w:val="20"/>
                  </w:rPr>
                </w:pPr>
                <w:r>
                  <w:rPr>
                    <w:rFonts w:ascii="Calibri"/>
                    <w:color w:val="000000"/>
                    <w:sz w:val="20"/>
                  </w:rPr>
                  <w:t xml:space="preserve"> </w:t>
                </w:r>
              </w:p>
            </w:tc>
            <w:tc>
              <w:tcPr>
                <w:tcW w:w="333" w:type="pct"/>
                <w:shd w:val="clear" w:color="auto" w:fill="FFFFFF"/>
                <w:noWrap/>
                <w:tcMar>
                  <w:top w:w="15" w:type="dxa"/>
                  <w:left w:w="0" w:type="dxa"/>
                  <w:bottom w:w="0" w:type="dxa"/>
                  <w:right w:w="15" w:type="dxa"/>
                </w:tcMar>
                <w:vAlign w:val="bottom"/>
              </w:tcPr>
              <w:p w14:paraId="2A88E35D"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60873ED3"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3F820EE7"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B827D1F" w14:textId="77777777" w:rsidR="008C2C37" w:rsidRDefault="008C2C37">
                <w:pPr>
                  <w:rPr>
                    <w:rFonts w:ascii="Calibri"/>
                    <w:color w:val="000000"/>
                    <w:sz w:val="20"/>
                  </w:rPr>
                </w:pPr>
                <w:r>
                  <w:rPr>
                    <w:rFonts w:ascii="Calibri"/>
                    <w:color w:val="000000"/>
                    <w:sz w:val="20"/>
                  </w:rPr>
                  <w:t xml:space="preserve"> </w:t>
                </w:r>
              </w:p>
            </w:tc>
            <w:tc>
              <w:tcPr>
                <w:tcW w:w="503" w:type="pct"/>
                <w:shd w:val="clear" w:color="auto" w:fill="FFFFFF"/>
                <w:noWrap/>
                <w:tcMar>
                  <w:top w:w="15" w:type="dxa"/>
                  <w:left w:w="0" w:type="dxa"/>
                  <w:bottom w:w="0" w:type="dxa"/>
                  <w:right w:w="15" w:type="dxa"/>
                </w:tcMar>
                <w:vAlign w:val="bottom"/>
              </w:tcPr>
              <w:p w14:paraId="5806F9DC" w14:textId="77777777" w:rsidR="008C2C37" w:rsidRDefault="008C2C37">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1EAC4078"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51320360" w14:textId="77777777" w:rsidR="008C2C37" w:rsidRDefault="008C2C37">
                <w:pPr>
                  <w:rPr>
                    <w:rFonts w:ascii="Calibri"/>
                    <w:color w:val="000000"/>
                    <w:sz w:val="20"/>
                  </w:rPr>
                </w:pPr>
                <w:r>
                  <w:rPr>
                    <w:rFonts w:ascii="Calibri"/>
                    <w:color w:val="000000"/>
                    <w:sz w:val="20"/>
                  </w:rPr>
                  <w:t xml:space="preserve"> </w:t>
                </w:r>
              </w:p>
            </w:tc>
            <w:tc>
              <w:tcPr>
                <w:tcW w:w="553" w:type="pct"/>
                <w:gridSpan w:val="2"/>
                <w:shd w:val="clear" w:color="auto" w:fill="FFFFFF"/>
                <w:tcMar>
                  <w:top w:w="15" w:type="dxa"/>
                  <w:left w:w="0" w:type="dxa"/>
                  <w:bottom w:w="0" w:type="dxa"/>
                  <w:right w:w="15" w:type="dxa"/>
                </w:tcMar>
                <w:vAlign w:val="bottom"/>
              </w:tcPr>
              <w:p w14:paraId="06B8542B" w14:textId="77777777" w:rsidR="008C2C37" w:rsidRDefault="008C2C37">
                <w:pPr>
                  <w:jc w:val="center"/>
                  <w:rPr>
                    <w:rFonts w:ascii="Calibri"/>
                    <w:color w:val="000000"/>
                    <w:sz w:val="20"/>
                  </w:rPr>
                </w:pPr>
                <w:r>
                  <w:rPr>
                    <w:rFonts w:ascii="Calibri"/>
                    <w:color w:val="000000"/>
                    <w:sz w:val="20"/>
                  </w:rPr>
                  <w:t>0.0%</w:t>
                </w:r>
              </w:p>
            </w:tc>
            <w:tc>
              <w:tcPr>
                <w:tcW w:w="50" w:type="pct"/>
                <w:shd w:val="clear" w:color="auto" w:fill="FFFFFF"/>
                <w:noWrap/>
                <w:tcMar>
                  <w:top w:w="15" w:type="dxa"/>
                  <w:left w:w="0" w:type="dxa"/>
                  <w:bottom w:w="0" w:type="dxa"/>
                  <w:right w:w="15" w:type="dxa"/>
                </w:tcMar>
                <w:vAlign w:val="bottom"/>
              </w:tcPr>
              <w:p w14:paraId="6881A460" w14:textId="77777777" w:rsidR="008C2C37" w:rsidRDefault="008C2C37">
                <w:pPr>
                  <w:rPr>
                    <w:rFonts w:ascii="Calibri"/>
                    <w:color w:val="000000"/>
                    <w:sz w:val="20"/>
                  </w:rPr>
                </w:pPr>
                <w:r>
                  <w:rPr>
                    <w:rFonts w:ascii="Calibri"/>
                    <w:color w:val="000000"/>
                    <w:sz w:val="20"/>
                  </w:rPr>
                  <w:t xml:space="preserve"> </w:t>
                </w:r>
              </w:p>
            </w:tc>
          </w:tr>
          <w:tr w:rsidR="008C2C37" w14:paraId="30F969C8" w14:textId="77777777">
            <w:trPr>
              <w:cantSplit/>
            </w:trPr>
            <w:tc>
              <w:tcPr>
                <w:tcW w:w="1326" w:type="pct"/>
                <w:shd w:val="clear" w:color="auto" w:fill="CFF0FC"/>
                <w:tcMar>
                  <w:top w:w="15" w:type="dxa"/>
                  <w:left w:w="0" w:type="dxa"/>
                  <w:bottom w:w="0" w:type="dxa"/>
                  <w:right w:w="15" w:type="dxa"/>
                </w:tcMar>
              </w:tcPr>
              <w:p w14:paraId="20CCB765" w14:textId="77777777" w:rsidR="008C2C37" w:rsidRDefault="008C2C37">
                <w:pPr>
                  <w:keepNext/>
                  <w:rPr>
                    <w:rFonts w:ascii="Calibri"/>
                    <w:color w:val="000000"/>
                    <w:sz w:val="20"/>
                  </w:rPr>
                </w:pPr>
                <w:r>
                  <w:rPr>
                    <w:rFonts w:ascii="Calibri"/>
                    <w:color w:val="000000"/>
                    <w:sz w:val="20"/>
                  </w:rPr>
                  <w:t>Consumer</w:t>
                </w:r>
              </w:p>
            </w:tc>
            <w:tc>
              <w:tcPr>
                <w:tcW w:w="65" w:type="pct"/>
                <w:shd w:val="clear" w:color="auto" w:fill="CFF0FC"/>
                <w:tcMar>
                  <w:top w:w="15" w:type="dxa"/>
                  <w:left w:w="0" w:type="dxa"/>
                  <w:bottom w:w="0" w:type="dxa"/>
                  <w:right w:w="15" w:type="dxa"/>
                </w:tcMar>
                <w:vAlign w:val="bottom"/>
              </w:tcPr>
              <w:p w14:paraId="68A45450"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3436ADE" w14:textId="77777777" w:rsidR="008C2C37" w:rsidRDefault="008C2C37">
                <w:pPr>
                  <w:rPr>
                    <w:rFonts w:ascii="Calibri"/>
                    <w:color w:val="000000"/>
                    <w:sz w:val="20"/>
                  </w:rPr>
                </w:pPr>
                <w:r>
                  <w:rPr>
                    <w:rFonts w:ascii="Calibri"/>
                    <w:color w:val="000000"/>
                    <w:sz w:val="20"/>
                  </w:rPr>
                  <w:t xml:space="preserve"> </w:t>
                </w:r>
              </w:p>
            </w:tc>
            <w:tc>
              <w:tcPr>
                <w:tcW w:w="333" w:type="pct"/>
                <w:shd w:val="clear" w:color="auto" w:fill="CFF0FC"/>
                <w:noWrap/>
                <w:tcMar>
                  <w:top w:w="15" w:type="dxa"/>
                  <w:left w:w="0" w:type="dxa"/>
                  <w:bottom w:w="0" w:type="dxa"/>
                  <w:right w:w="15" w:type="dxa"/>
                </w:tcMar>
                <w:vAlign w:val="bottom"/>
              </w:tcPr>
              <w:p w14:paraId="4C67660B"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35C291F6"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04664C4F"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38A202E" w14:textId="77777777" w:rsidR="008C2C37" w:rsidRDefault="008C2C37">
                <w:pPr>
                  <w:rPr>
                    <w:rFonts w:ascii="Calibri"/>
                    <w:color w:val="000000"/>
                    <w:sz w:val="20"/>
                  </w:rPr>
                </w:pPr>
                <w:r>
                  <w:rPr>
                    <w:rFonts w:ascii="Calibri"/>
                    <w:color w:val="000000"/>
                    <w:sz w:val="20"/>
                  </w:rPr>
                  <w:t xml:space="preserve"> </w:t>
                </w:r>
              </w:p>
            </w:tc>
            <w:tc>
              <w:tcPr>
                <w:tcW w:w="503" w:type="pct"/>
                <w:shd w:val="clear" w:color="auto" w:fill="CFF0FC"/>
                <w:noWrap/>
                <w:tcMar>
                  <w:top w:w="15" w:type="dxa"/>
                  <w:left w:w="0" w:type="dxa"/>
                  <w:bottom w:w="0" w:type="dxa"/>
                  <w:right w:w="15" w:type="dxa"/>
                </w:tcMar>
                <w:vAlign w:val="bottom"/>
              </w:tcPr>
              <w:p w14:paraId="4501685E" w14:textId="77777777" w:rsidR="008C2C37" w:rsidRDefault="008C2C37">
                <w:pPr>
                  <w:jc w:val="right"/>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620DA7F3"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40F11242"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B5646EA" w14:textId="77777777" w:rsidR="008C2C37" w:rsidRDefault="008C2C37">
                <w:pPr>
                  <w:rPr>
                    <w:rFonts w:ascii="Calibri"/>
                    <w:color w:val="000000"/>
                    <w:sz w:val="20"/>
                  </w:rPr>
                </w:pPr>
                <w:r>
                  <w:rPr>
                    <w:rFonts w:ascii="Calibri"/>
                    <w:color w:val="000000"/>
                    <w:sz w:val="20"/>
                  </w:rPr>
                  <w:t xml:space="preserve"> </w:t>
                </w:r>
              </w:p>
            </w:tc>
            <w:tc>
              <w:tcPr>
                <w:tcW w:w="503" w:type="pct"/>
                <w:shd w:val="clear" w:color="auto" w:fill="CFF0FC"/>
                <w:noWrap/>
                <w:tcMar>
                  <w:top w:w="15" w:type="dxa"/>
                  <w:left w:w="0" w:type="dxa"/>
                  <w:bottom w:w="0" w:type="dxa"/>
                  <w:right w:w="15" w:type="dxa"/>
                </w:tcMar>
                <w:vAlign w:val="bottom"/>
              </w:tcPr>
              <w:p w14:paraId="37EB7026"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5E3A466F"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7CACE7FD"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04CC2AF" w14:textId="77777777" w:rsidR="008C2C37" w:rsidRDefault="008C2C37">
                <w:pPr>
                  <w:rPr>
                    <w:rFonts w:ascii="Calibri"/>
                    <w:color w:val="000000"/>
                    <w:sz w:val="20"/>
                  </w:rPr>
                </w:pPr>
                <w:r>
                  <w:rPr>
                    <w:rFonts w:ascii="Calibri"/>
                    <w:color w:val="000000"/>
                    <w:sz w:val="20"/>
                  </w:rPr>
                  <w:t xml:space="preserve"> </w:t>
                </w:r>
              </w:p>
            </w:tc>
            <w:tc>
              <w:tcPr>
                <w:tcW w:w="333" w:type="pct"/>
                <w:shd w:val="clear" w:color="auto" w:fill="CFF0FC"/>
                <w:noWrap/>
                <w:tcMar>
                  <w:top w:w="15" w:type="dxa"/>
                  <w:left w:w="0" w:type="dxa"/>
                  <w:bottom w:w="0" w:type="dxa"/>
                  <w:right w:w="15" w:type="dxa"/>
                </w:tcMar>
                <w:vAlign w:val="bottom"/>
              </w:tcPr>
              <w:p w14:paraId="6BD56B18"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757A6868"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7404652C"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7AA51E0" w14:textId="77777777" w:rsidR="008C2C37" w:rsidRDefault="008C2C37">
                <w:pPr>
                  <w:rPr>
                    <w:rFonts w:ascii="Calibri"/>
                    <w:color w:val="000000"/>
                    <w:sz w:val="20"/>
                  </w:rPr>
                </w:pPr>
                <w:r>
                  <w:rPr>
                    <w:rFonts w:ascii="Calibri"/>
                    <w:color w:val="000000"/>
                    <w:sz w:val="20"/>
                  </w:rPr>
                  <w:t xml:space="preserve"> </w:t>
                </w:r>
              </w:p>
            </w:tc>
            <w:tc>
              <w:tcPr>
                <w:tcW w:w="503" w:type="pct"/>
                <w:shd w:val="clear" w:color="auto" w:fill="CFF0FC"/>
                <w:noWrap/>
                <w:tcMar>
                  <w:top w:w="15" w:type="dxa"/>
                  <w:left w:w="0" w:type="dxa"/>
                  <w:bottom w:w="0" w:type="dxa"/>
                  <w:right w:w="15" w:type="dxa"/>
                </w:tcMar>
                <w:vAlign w:val="bottom"/>
              </w:tcPr>
              <w:p w14:paraId="0C13F930" w14:textId="77777777" w:rsidR="008C2C37" w:rsidRDefault="008C2C37">
                <w:pPr>
                  <w:jc w:val="right"/>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754B4EBF"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6518EAF3" w14:textId="77777777" w:rsidR="008C2C37" w:rsidRDefault="008C2C37">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7FA45F8" w14:textId="77777777" w:rsidR="008C2C37" w:rsidRDefault="008C2C37">
                <w:pPr>
                  <w:rPr>
                    <w:rFonts w:ascii="Calibri"/>
                    <w:color w:val="000000"/>
                    <w:sz w:val="20"/>
                  </w:rPr>
                </w:pPr>
                <w:r>
                  <w:rPr>
                    <w:rFonts w:ascii="Calibri"/>
                    <w:color w:val="000000"/>
                    <w:sz w:val="20"/>
                  </w:rPr>
                  <w:t xml:space="preserve"> </w:t>
                </w:r>
              </w:p>
            </w:tc>
            <w:tc>
              <w:tcPr>
                <w:tcW w:w="503" w:type="pct"/>
                <w:shd w:val="clear" w:color="auto" w:fill="CFF0FC"/>
                <w:noWrap/>
                <w:tcMar>
                  <w:top w:w="15" w:type="dxa"/>
                  <w:left w:w="0" w:type="dxa"/>
                  <w:bottom w:w="0" w:type="dxa"/>
                  <w:right w:w="15" w:type="dxa"/>
                </w:tcMar>
                <w:vAlign w:val="bottom"/>
              </w:tcPr>
              <w:p w14:paraId="275AFED5"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68EEECA5" w14:textId="77777777" w:rsidR="008C2C37" w:rsidRDefault="008C2C37">
                <w:pPr>
                  <w:rPr>
                    <w:rFonts w:ascii="Calibri"/>
                    <w:color w:val="000000"/>
                    <w:sz w:val="20"/>
                  </w:rPr>
                </w:pPr>
                <w:r>
                  <w:rPr>
                    <w:rFonts w:ascii="Calibri"/>
                    <w:color w:val="000000"/>
                    <w:sz w:val="20"/>
                  </w:rPr>
                  <w:t xml:space="preserve"> </w:t>
                </w:r>
              </w:p>
            </w:tc>
          </w:tr>
          <w:tr w:rsidR="008C2C37" w14:paraId="3E42E749" w14:textId="77777777">
            <w:trPr>
              <w:cantSplit/>
            </w:trPr>
            <w:tc>
              <w:tcPr>
                <w:tcW w:w="1326" w:type="pct"/>
                <w:shd w:val="clear" w:color="auto" w:fill="FFFFFF"/>
                <w:tcMar>
                  <w:top w:w="15" w:type="dxa"/>
                  <w:left w:w="0" w:type="dxa"/>
                  <w:bottom w:w="0" w:type="dxa"/>
                  <w:right w:w="15" w:type="dxa"/>
                </w:tcMar>
              </w:tcPr>
              <w:p w14:paraId="6B5BF073" w14:textId="77777777" w:rsidR="008C2C37" w:rsidRDefault="008C2C37">
                <w:pPr>
                  <w:keepNext/>
                  <w:rPr>
                    <w:rFonts w:ascii="Calibri"/>
                    <w:color w:val="000000"/>
                    <w:sz w:val="20"/>
                  </w:rPr>
                </w:pPr>
                <w:r>
                  <w:rPr>
                    <w:rFonts w:ascii="Calibri"/>
                    <w:color w:val="000000"/>
                    <w:sz w:val="20"/>
                  </w:rPr>
                  <w:t>Other</w:t>
                </w:r>
              </w:p>
            </w:tc>
            <w:tc>
              <w:tcPr>
                <w:tcW w:w="65" w:type="pct"/>
                <w:shd w:val="clear" w:color="auto" w:fill="FFFFFF"/>
                <w:tcMar>
                  <w:top w:w="15" w:type="dxa"/>
                  <w:left w:w="0" w:type="dxa"/>
                  <w:bottom w:w="0" w:type="dxa"/>
                  <w:right w:w="15" w:type="dxa"/>
                </w:tcMar>
                <w:vAlign w:val="bottom"/>
              </w:tcPr>
              <w:p w14:paraId="412460F7" w14:textId="77777777" w:rsidR="008C2C37" w:rsidRDefault="008C2C37">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BA8C0DE" w14:textId="77777777" w:rsidR="008C2C37" w:rsidRDefault="008C2C37">
                <w:pPr>
                  <w:rPr>
                    <w:rFonts w:ascii="Calibri"/>
                    <w:color w:val="000000"/>
                    <w:sz w:val="20"/>
                  </w:rPr>
                </w:pPr>
                <w:r>
                  <w:rPr>
                    <w:rFonts w:ascii="Calibri"/>
                    <w:color w:val="000000"/>
                    <w:sz w:val="20"/>
                  </w:rPr>
                  <w:t xml:space="preserve"> </w:t>
                </w:r>
              </w:p>
            </w:tc>
            <w:tc>
              <w:tcPr>
                <w:tcW w:w="333" w:type="pct"/>
                <w:tcBorders>
                  <w:bottom w:val="single" w:sz="2" w:space="0" w:color="000000"/>
                </w:tcBorders>
                <w:shd w:val="clear" w:color="auto" w:fill="FFFFFF"/>
                <w:noWrap/>
                <w:tcMar>
                  <w:top w:w="15" w:type="dxa"/>
                  <w:left w:w="0" w:type="dxa"/>
                  <w:bottom w:w="0" w:type="dxa"/>
                  <w:right w:w="15" w:type="dxa"/>
                </w:tcMar>
                <w:vAlign w:val="bottom"/>
              </w:tcPr>
              <w:p w14:paraId="03FBD606"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6F4E61B1"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2D06C860" w14:textId="77777777" w:rsidR="008C2C37" w:rsidRDefault="008C2C37">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841D520" w14:textId="77777777" w:rsidR="008C2C37" w:rsidRDefault="008C2C37">
                <w:pPr>
                  <w:rPr>
                    <w:rFonts w:ascii="Calibri"/>
                    <w:color w:val="000000"/>
                    <w:sz w:val="20"/>
                  </w:rPr>
                </w:pPr>
                <w:r>
                  <w:rPr>
                    <w:rFonts w:ascii="Calibri"/>
                    <w:color w:val="000000"/>
                    <w:sz w:val="20"/>
                  </w:rPr>
                  <w:t xml:space="preserve"> </w:t>
                </w:r>
              </w:p>
            </w:tc>
            <w:tc>
              <w:tcPr>
                <w:tcW w:w="503" w:type="pct"/>
                <w:tcBorders>
                  <w:bottom w:val="single" w:sz="2" w:space="0" w:color="000000"/>
                </w:tcBorders>
                <w:shd w:val="clear" w:color="auto" w:fill="FFFFFF"/>
                <w:noWrap/>
                <w:tcMar>
                  <w:top w:w="15" w:type="dxa"/>
                  <w:left w:w="0" w:type="dxa"/>
                  <w:bottom w:w="0" w:type="dxa"/>
                  <w:right w:w="15" w:type="dxa"/>
                </w:tcMar>
                <w:vAlign w:val="bottom"/>
              </w:tcPr>
              <w:p w14:paraId="109A2D0E" w14:textId="77777777" w:rsidR="008C2C37" w:rsidRDefault="008C2C37">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05BF3274"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12FF40BE" w14:textId="77777777" w:rsidR="008C2C37" w:rsidRDefault="008C2C37">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5638021" w14:textId="77777777" w:rsidR="008C2C37" w:rsidRDefault="008C2C37">
                <w:pPr>
                  <w:rPr>
                    <w:rFonts w:ascii="Calibri"/>
                    <w:color w:val="000000"/>
                    <w:sz w:val="20"/>
                  </w:rPr>
                </w:pPr>
                <w:r>
                  <w:rPr>
                    <w:rFonts w:ascii="Calibri"/>
                    <w:color w:val="000000"/>
                    <w:sz w:val="20"/>
                  </w:rPr>
                  <w:t xml:space="preserve"> </w:t>
                </w:r>
              </w:p>
            </w:tc>
            <w:tc>
              <w:tcPr>
                <w:tcW w:w="503" w:type="pct"/>
                <w:tcBorders>
                  <w:bottom w:val="single" w:sz="2" w:space="0" w:color="000000"/>
                </w:tcBorders>
                <w:shd w:val="clear" w:color="auto" w:fill="FFFFFF"/>
                <w:noWrap/>
                <w:tcMar>
                  <w:top w:w="15" w:type="dxa"/>
                  <w:left w:w="0" w:type="dxa"/>
                  <w:bottom w:w="0" w:type="dxa"/>
                  <w:right w:w="15" w:type="dxa"/>
                </w:tcMar>
                <w:vAlign w:val="bottom"/>
              </w:tcPr>
              <w:p w14:paraId="35375A4A"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278F9CBB"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4B7C6F39" w14:textId="77777777" w:rsidR="008C2C37" w:rsidRDefault="008C2C37">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FC3CDDF" w14:textId="77777777" w:rsidR="008C2C37" w:rsidRDefault="008C2C37">
                <w:pPr>
                  <w:rPr>
                    <w:rFonts w:ascii="Calibri"/>
                    <w:color w:val="000000"/>
                    <w:sz w:val="20"/>
                  </w:rPr>
                </w:pPr>
                <w:r>
                  <w:rPr>
                    <w:rFonts w:ascii="Calibri"/>
                    <w:color w:val="000000"/>
                    <w:sz w:val="20"/>
                  </w:rPr>
                  <w:t xml:space="preserve"> </w:t>
                </w:r>
              </w:p>
            </w:tc>
            <w:tc>
              <w:tcPr>
                <w:tcW w:w="333" w:type="pct"/>
                <w:tcBorders>
                  <w:bottom w:val="single" w:sz="2" w:space="0" w:color="000000"/>
                </w:tcBorders>
                <w:shd w:val="clear" w:color="auto" w:fill="FFFFFF"/>
                <w:noWrap/>
                <w:tcMar>
                  <w:top w:w="15" w:type="dxa"/>
                  <w:left w:w="0" w:type="dxa"/>
                  <w:bottom w:w="0" w:type="dxa"/>
                  <w:right w:w="15" w:type="dxa"/>
                </w:tcMar>
                <w:vAlign w:val="bottom"/>
              </w:tcPr>
              <w:p w14:paraId="15BDE0FF"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306D4937"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6B9E8DC2" w14:textId="77777777" w:rsidR="008C2C37" w:rsidRDefault="008C2C37">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CB12FF5" w14:textId="77777777" w:rsidR="008C2C37" w:rsidRDefault="008C2C37">
                <w:pPr>
                  <w:rPr>
                    <w:rFonts w:ascii="Calibri"/>
                    <w:color w:val="000000"/>
                    <w:sz w:val="20"/>
                  </w:rPr>
                </w:pPr>
                <w:r>
                  <w:rPr>
                    <w:rFonts w:ascii="Calibri"/>
                    <w:color w:val="000000"/>
                    <w:sz w:val="20"/>
                  </w:rPr>
                  <w:t xml:space="preserve"> </w:t>
                </w:r>
              </w:p>
            </w:tc>
            <w:tc>
              <w:tcPr>
                <w:tcW w:w="503" w:type="pct"/>
                <w:tcBorders>
                  <w:bottom w:val="single" w:sz="2" w:space="0" w:color="000000"/>
                </w:tcBorders>
                <w:shd w:val="clear" w:color="auto" w:fill="FFFFFF"/>
                <w:noWrap/>
                <w:tcMar>
                  <w:top w:w="15" w:type="dxa"/>
                  <w:left w:w="0" w:type="dxa"/>
                  <w:bottom w:w="0" w:type="dxa"/>
                  <w:right w:w="15" w:type="dxa"/>
                </w:tcMar>
                <w:vAlign w:val="bottom"/>
              </w:tcPr>
              <w:p w14:paraId="748993CE" w14:textId="77777777" w:rsidR="008C2C37" w:rsidRDefault="008C2C37">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5CF842D1"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FFFFFF"/>
                <w:tcMar>
                  <w:top w:w="15" w:type="dxa"/>
                  <w:left w:w="0" w:type="dxa"/>
                  <w:bottom w:w="0" w:type="dxa"/>
                  <w:right w:w="15" w:type="dxa"/>
                </w:tcMar>
                <w:vAlign w:val="bottom"/>
              </w:tcPr>
              <w:p w14:paraId="3B2824DE" w14:textId="77777777" w:rsidR="008C2C37" w:rsidRDefault="008C2C37">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E1B236E" w14:textId="77777777" w:rsidR="008C2C37" w:rsidRDefault="008C2C37">
                <w:pPr>
                  <w:rPr>
                    <w:rFonts w:ascii="Calibri"/>
                    <w:color w:val="000000"/>
                    <w:sz w:val="20"/>
                  </w:rPr>
                </w:pPr>
                <w:r>
                  <w:rPr>
                    <w:rFonts w:ascii="Calibri"/>
                    <w:color w:val="000000"/>
                    <w:sz w:val="20"/>
                  </w:rPr>
                  <w:t xml:space="preserve"> </w:t>
                </w:r>
              </w:p>
            </w:tc>
            <w:tc>
              <w:tcPr>
                <w:tcW w:w="503" w:type="pct"/>
                <w:tcBorders>
                  <w:bottom w:val="single" w:sz="2" w:space="0" w:color="000000"/>
                </w:tcBorders>
                <w:shd w:val="clear" w:color="auto" w:fill="FFFFFF"/>
                <w:noWrap/>
                <w:tcMar>
                  <w:top w:w="15" w:type="dxa"/>
                  <w:left w:w="0" w:type="dxa"/>
                  <w:bottom w:w="0" w:type="dxa"/>
                  <w:right w:w="15" w:type="dxa"/>
                </w:tcMar>
                <w:vAlign w:val="bottom"/>
              </w:tcPr>
              <w:p w14:paraId="422AF114" w14:textId="77777777" w:rsidR="008C2C37" w:rsidRDefault="008C2C37">
                <w:pPr>
                  <w:jc w:val="center"/>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046F5600" w14:textId="77777777" w:rsidR="008C2C37" w:rsidRDefault="008C2C37">
                <w:pPr>
                  <w:rPr>
                    <w:rFonts w:ascii="Calibri"/>
                    <w:color w:val="000000"/>
                    <w:sz w:val="20"/>
                  </w:rPr>
                </w:pPr>
                <w:r>
                  <w:rPr>
                    <w:rFonts w:ascii="Calibri"/>
                    <w:color w:val="000000"/>
                    <w:sz w:val="20"/>
                  </w:rPr>
                  <w:t xml:space="preserve"> </w:t>
                </w:r>
              </w:p>
            </w:tc>
          </w:tr>
          <w:tr w:rsidR="008C2C37" w14:paraId="44FB4861" w14:textId="77777777">
            <w:trPr>
              <w:cantSplit/>
            </w:trPr>
            <w:tc>
              <w:tcPr>
                <w:tcW w:w="1326" w:type="pct"/>
                <w:shd w:val="clear" w:color="auto" w:fill="CFF0FC"/>
                <w:tcMar>
                  <w:top w:w="15" w:type="dxa"/>
                  <w:left w:w="0" w:type="dxa"/>
                  <w:bottom w:w="0" w:type="dxa"/>
                  <w:right w:w="15" w:type="dxa"/>
                </w:tcMar>
              </w:tcPr>
              <w:p w14:paraId="7F5E2201" w14:textId="77777777" w:rsidR="008C2C37" w:rsidRDefault="008C2C37">
                <w:pPr>
                  <w:ind w:left="274"/>
                  <w:rPr>
                    <w:rFonts w:ascii="Calibri"/>
                    <w:color w:val="000000"/>
                    <w:sz w:val="20"/>
                  </w:rPr>
                </w:pPr>
                <w:r>
                  <w:rPr>
                    <w:rFonts w:ascii="Calibri"/>
                    <w:color w:val="000000"/>
                    <w:sz w:val="20"/>
                  </w:rPr>
                  <w:t>Total</w:t>
                </w:r>
              </w:p>
            </w:tc>
            <w:tc>
              <w:tcPr>
                <w:tcW w:w="65" w:type="pct"/>
                <w:shd w:val="clear" w:color="auto" w:fill="CFF0FC"/>
                <w:tcMar>
                  <w:top w:w="15" w:type="dxa"/>
                  <w:left w:w="0" w:type="dxa"/>
                  <w:bottom w:w="0" w:type="dxa"/>
                  <w:right w:w="15" w:type="dxa"/>
                </w:tcMar>
                <w:vAlign w:val="bottom"/>
              </w:tcPr>
              <w:p w14:paraId="594B7852" w14:textId="77777777" w:rsidR="008C2C37" w:rsidRDefault="008C2C37">
                <w:pPr>
                  <w:rPr>
                    <w:rFonts w:ascii="Calibri"/>
                    <w:color w:val="000000"/>
                    <w:sz w:val="20"/>
                  </w:rPr>
                </w:pPr>
                <w:r>
                  <w:rPr>
                    <w:rFonts w:ascii="Calibri"/>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F53DAA6" w14:textId="77777777" w:rsidR="008C2C37" w:rsidRDefault="008C2C37">
                <w:pPr>
                  <w:rPr>
                    <w:rFonts w:ascii="Calibri"/>
                    <w:color w:val="000000"/>
                    <w:sz w:val="20"/>
                  </w:rPr>
                </w:pPr>
                <w:r>
                  <w:rPr>
                    <w:rFonts w:ascii="Calibri"/>
                    <w:color w:val="000000"/>
                    <w:sz w:val="20"/>
                  </w:rPr>
                  <w:t xml:space="preserve"> </w:t>
                </w:r>
              </w:p>
            </w:tc>
            <w:tc>
              <w:tcPr>
                <w:tcW w:w="33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EF7EB9F" w14:textId="77777777" w:rsidR="008C2C37" w:rsidRDefault="008C2C37">
                <w:pPr>
                  <w:jc w:val="center"/>
                  <w:rPr>
                    <w:rFonts w:ascii="Calibri"/>
                    <w:color w:val="000000"/>
                    <w:sz w:val="20"/>
                  </w:rPr>
                </w:pPr>
                <w:r>
                  <w:rPr>
                    <w:rFonts w:ascii="Calibri"/>
                    <w:color w:val="000000"/>
                    <w:sz w:val="20"/>
                  </w:rPr>
                  <w:t>172</w:t>
                </w:r>
              </w:p>
            </w:tc>
            <w:tc>
              <w:tcPr>
                <w:tcW w:w="50" w:type="pct"/>
                <w:shd w:val="clear" w:color="auto" w:fill="CFF0FC"/>
                <w:noWrap/>
                <w:tcMar>
                  <w:top w:w="15" w:type="dxa"/>
                  <w:left w:w="0" w:type="dxa"/>
                  <w:bottom w:w="0" w:type="dxa"/>
                  <w:right w:w="15" w:type="dxa"/>
                </w:tcMar>
                <w:vAlign w:val="bottom"/>
              </w:tcPr>
              <w:p w14:paraId="5816FA04"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048261B2" w14:textId="77777777" w:rsidR="008C2C37" w:rsidRDefault="008C2C37">
                <w:pPr>
                  <w:rPr>
                    <w:rFonts w:ascii="Calibri"/>
                    <w:color w:val="000000"/>
                    <w:sz w:val="20"/>
                  </w:rPr>
                </w:pPr>
                <w:r>
                  <w:rPr>
                    <w:rFonts w:ascii="Calibri"/>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8EA8EE8" w14:textId="77777777" w:rsidR="008C2C37" w:rsidRDefault="008C2C37">
                <w:pPr>
                  <w:rPr>
                    <w:rFonts w:ascii="Calibri"/>
                    <w:color w:val="000000"/>
                    <w:sz w:val="20"/>
                  </w:rPr>
                </w:pPr>
                <w:r>
                  <w:rPr>
                    <w:rFonts w:ascii="Calibri"/>
                    <w:color w:val="000000"/>
                    <w:sz w:val="20"/>
                  </w:rPr>
                  <w:t>$</w:t>
                </w:r>
              </w:p>
            </w:tc>
            <w:tc>
              <w:tcPr>
                <w:tcW w:w="50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9791852" w14:textId="77777777" w:rsidR="008C2C37" w:rsidRDefault="008C2C37">
                <w:pPr>
                  <w:jc w:val="right"/>
                  <w:rPr>
                    <w:rFonts w:ascii="Calibri"/>
                    <w:color w:val="000000"/>
                    <w:sz w:val="20"/>
                  </w:rPr>
                </w:pPr>
                <w:r>
                  <w:rPr>
                    <w:rFonts w:ascii="Calibri"/>
                    <w:color w:val="000000"/>
                    <w:sz w:val="20"/>
                  </w:rPr>
                  <w:t>67,854,487</w:t>
                </w:r>
              </w:p>
            </w:tc>
            <w:tc>
              <w:tcPr>
                <w:tcW w:w="50" w:type="pct"/>
                <w:shd w:val="clear" w:color="auto" w:fill="CFF0FC"/>
                <w:noWrap/>
                <w:tcMar>
                  <w:top w:w="15" w:type="dxa"/>
                  <w:left w:w="0" w:type="dxa"/>
                  <w:bottom w:w="0" w:type="dxa"/>
                  <w:right w:w="15" w:type="dxa"/>
                </w:tcMar>
                <w:vAlign w:val="bottom"/>
              </w:tcPr>
              <w:p w14:paraId="35A6EAEA"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5F8EE6DA" w14:textId="77777777" w:rsidR="008C2C37" w:rsidRDefault="008C2C37">
                <w:pPr>
                  <w:rPr>
                    <w:rFonts w:ascii="Calibri"/>
                    <w:color w:val="000000"/>
                    <w:sz w:val="20"/>
                  </w:rPr>
                </w:pPr>
                <w:r>
                  <w:rPr>
                    <w:rFonts w:ascii="Calibri"/>
                    <w:color w:val="000000"/>
                    <w:sz w:val="20"/>
                  </w:rPr>
                  <w:t xml:space="preserve"> </w:t>
                </w:r>
              </w:p>
            </w:tc>
            <w:tc>
              <w:tcPr>
                <w:tcW w:w="553" w:type="pct"/>
                <w:gridSpan w:val="2"/>
                <w:tcBorders>
                  <w:top w:val="single" w:sz="2" w:space="0" w:color="000000"/>
                  <w:bottom w:val="double" w:sz="6" w:space="0" w:color="000000"/>
                </w:tcBorders>
                <w:shd w:val="clear" w:color="auto" w:fill="CFF0FC"/>
                <w:tcMar>
                  <w:top w:w="15" w:type="dxa"/>
                  <w:left w:w="0" w:type="dxa"/>
                  <w:bottom w:w="0" w:type="dxa"/>
                  <w:right w:w="15" w:type="dxa"/>
                </w:tcMar>
                <w:vAlign w:val="bottom"/>
              </w:tcPr>
              <w:p w14:paraId="083B1CDB" w14:textId="77777777" w:rsidR="008C2C37" w:rsidRDefault="008C2C37">
                <w:pPr>
                  <w:jc w:val="center"/>
                  <w:rPr>
                    <w:rFonts w:ascii="Calibri"/>
                    <w:color w:val="000000"/>
                    <w:sz w:val="20"/>
                  </w:rPr>
                </w:pPr>
                <w:r>
                  <w:rPr>
                    <w:rFonts w:ascii="Calibri"/>
                    <w:color w:val="000000"/>
                    <w:sz w:val="20"/>
                  </w:rPr>
                  <w:t>11.6%</w:t>
                </w:r>
              </w:p>
            </w:tc>
            <w:tc>
              <w:tcPr>
                <w:tcW w:w="50" w:type="pct"/>
                <w:shd w:val="clear" w:color="auto" w:fill="CFF0FC"/>
                <w:noWrap/>
                <w:tcMar>
                  <w:top w:w="15" w:type="dxa"/>
                  <w:left w:w="0" w:type="dxa"/>
                  <w:bottom w:w="0" w:type="dxa"/>
                  <w:right w:w="15" w:type="dxa"/>
                </w:tcMar>
                <w:vAlign w:val="bottom"/>
              </w:tcPr>
              <w:p w14:paraId="5ECEA100"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3803539E" w14:textId="77777777" w:rsidR="008C2C37" w:rsidRDefault="008C2C37">
                <w:pPr>
                  <w:rPr>
                    <w:rFonts w:ascii="Calibri"/>
                    <w:color w:val="000000"/>
                    <w:sz w:val="20"/>
                  </w:rPr>
                </w:pPr>
                <w:r>
                  <w:rPr>
                    <w:rFonts w:ascii="Calibri"/>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2ABAD56" w14:textId="77777777" w:rsidR="008C2C37" w:rsidRDefault="008C2C37">
                <w:pPr>
                  <w:rPr>
                    <w:rFonts w:ascii="Calibri"/>
                    <w:color w:val="000000"/>
                    <w:sz w:val="20"/>
                  </w:rPr>
                </w:pPr>
                <w:r>
                  <w:rPr>
                    <w:rFonts w:ascii="Calibri"/>
                    <w:color w:val="000000"/>
                    <w:sz w:val="20"/>
                  </w:rPr>
                  <w:t xml:space="preserve"> </w:t>
                </w:r>
              </w:p>
            </w:tc>
            <w:tc>
              <w:tcPr>
                <w:tcW w:w="33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F25AD62" w14:textId="77777777" w:rsidR="008C2C37" w:rsidRDefault="008C2C37">
                <w:pPr>
                  <w:jc w:val="center"/>
                  <w:rPr>
                    <w:rFonts w:ascii="Calibri"/>
                    <w:color w:val="000000"/>
                    <w:sz w:val="20"/>
                  </w:rPr>
                </w:pPr>
                <w:r>
                  <w:rPr>
                    <w:rFonts w:ascii="Calibri"/>
                    <w:color w:val="000000"/>
                    <w:sz w:val="20"/>
                  </w:rPr>
                  <w:t>25</w:t>
                </w:r>
              </w:p>
            </w:tc>
            <w:tc>
              <w:tcPr>
                <w:tcW w:w="50" w:type="pct"/>
                <w:shd w:val="clear" w:color="auto" w:fill="CFF0FC"/>
                <w:noWrap/>
                <w:tcMar>
                  <w:top w:w="15" w:type="dxa"/>
                  <w:left w:w="0" w:type="dxa"/>
                  <w:bottom w:w="0" w:type="dxa"/>
                  <w:right w:w="15" w:type="dxa"/>
                </w:tcMar>
                <w:vAlign w:val="bottom"/>
              </w:tcPr>
              <w:p w14:paraId="23796D3B"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0460481B" w14:textId="77777777" w:rsidR="008C2C37" w:rsidRDefault="008C2C37">
                <w:pPr>
                  <w:rPr>
                    <w:rFonts w:ascii="Calibri"/>
                    <w:color w:val="000000"/>
                    <w:sz w:val="20"/>
                  </w:rPr>
                </w:pPr>
                <w:r>
                  <w:rPr>
                    <w:rFonts w:ascii="Calibri"/>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CBAD4D9" w14:textId="77777777" w:rsidR="008C2C37" w:rsidRDefault="008C2C37">
                <w:pPr>
                  <w:rPr>
                    <w:rFonts w:ascii="Calibri"/>
                    <w:color w:val="000000"/>
                    <w:sz w:val="20"/>
                  </w:rPr>
                </w:pPr>
                <w:r>
                  <w:rPr>
                    <w:rFonts w:ascii="Calibri"/>
                    <w:color w:val="000000"/>
                    <w:sz w:val="20"/>
                  </w:rPr>
                  <w:t>$</w:t>
                </w:r>
              </w:p>
            </w:tc>
            <w:tc>
              <w:tcPr>
                <w:tcW w:w="50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6848D02" w14:textId="77777777" w:rsidR="008C2C37" w:rsidRDefault="008C2C37">
                <w:pPr>
                  <w:jc w:val="right"/>
                  <w:rPr>
                    <w:rFonts w:ascii="Calibri"/>
                    <w:color w:val="000000"/>
                    <w:sz w:val="20"/>
                  </w:rPr>
                </w:pPr>
                <w:r>
                  <w:rPr>
                    <w:rFonts w:ascii="Calibri"/>
                    <w:color w:val="000000"/>
                    <w:sz w:val="20"/>
                  </w:rPr>
                  <w:t>7,948,412</w:t>
                </w:r>
              </w:p>
            </w:tc>
            <w:tc>
              <w:tcPr>
                <w:tcW w:w="50" w:type="pct"/>
                <w:shd w:val="clear" w:color="auto" w:fill="CFF0FC"/>
                <w:noWrap/>
                <w:tcMar>
                  <w:top w:w="15" w:type="dxa"/>
                  <w:left w:w="0" w:type="dxa"/>
                  <w:bottom w:w="0" w:type="dxa"/>
                  <w:right w:w="15" w:type="dxa"/>
                </w:tcMar>
                <w:vAlign w:val="bottom"/>
              </w:tcPr>
              <w:p w14:paraId="46224916" w14:textId="77777777" w:rsidR="008C2C37" w:rsidRDefault="008C2C37">
                <w:pPr>
                  <w:rPr>
                    <w:rFonts w:ascii="Calibri"/>
                    <w:color w:val="000000"/>
                    <w:sz w:val="20"/>
                  </w:rPr>
                </w:pPr>
                <w:r>
                  <w:rPr>
                    <w:rFonts w:ascii="Calibri"/>
                    <w:color w:val="000000"/>
                    <w:sz w:val="20"/>
                  </w:rPr>
                  <w:t xml:space="preserve"> </w:t>
                </w:r>
              </w:p>
            </w:tc>
            <w:tc>
              <w:tcPr>
                <w:tcW w:w="65" w:type="pct"/>
                <w:shd w:val="clear" w:color="auto" w:fill="CFF0FC"/>
                <w:tcMar>
                  <w:top w:w="15" w:type="dxa"/>
                  <w:left w:w="0" w:type="dxa"/>
                  <w:bottom w:w="0" w:type="dxa"/>
                  <w:right w:w="15" w:type="dxa"/>
                </w:tcMar>
                <w:vAlign w:val="bottom"/>
              </w:tcPr>
              <w:p w14:paraId="2C5AB626" w14:textId="77777777" w:rsidR="008C2C37" w:rsidRDefault="008C2C37">
                <w:pPr>
                  <w:rPr>
                    <w:rFonts w:ascii="Calibri"/>
                    <w:color w:val="000000"/>
                    <w:sz w:val="20"/>
                  </w:rPr>
                </w:pPr>
                <w:r>
                  <w:rPr>
                    <w:rFonts w:ascii="Calibri"/>
                    <w:color w:val="000000"/>
                    <w:sz w:val="20"/>
                  </w:rPr>
                  <w:t xml:space="preserve"> </w:t>
                </w:r>
              </w:p>
            </w:tc>
            <w:tc>
              <w:tcPr>
                <w:tcW w:w="553" w:type="pct"/>
                <w:gridSpan w:val="2"/>
                <w:tcBorders>
                  <w:top w:val="single" w:sz="2" w:space="0" w:color="000000"/>
                  <w:bottom w:val="double" w:sz="6" w:space="0" w:color="000000"/>
                </w:tcBorders>
                <w:shd w:val="clear" w:color="auto" w:fill="CFF0FC"/>
                <w:tcMar>
                  <w:top w:w="15" w:type="dxa"/>
                  <w:left w:w="0" w:type="dxa"/>
                  <w:bottom w:w="0" w:type="dxa"/>
                  <w:right w:w="15" w:type="dxa"/>
                </w:tcMar>
                <w:vAlign w:val="bottom"/>
              </w:tcPr>
              <w:p w14:paraId="2F0A8B86" w14:textId="77777777" w:rsidR="008C2C37" w:rsidRDefault="008C2C37">
                <w:pPr>
                  <w:jc w:val="center"/>
                  <w:rPr>
                    <w:rFonts w:ascii="Calibri"/>
                    <w:color w:val="000000"/>
                    <w:sz w:val="20"/>
                  </w:rPr>
                </w:pPr>
                <w:r>
                  <w:rPr>
                    <w:rFonts w:ascii="Calibri"/>
                    <w:color w:val="000000"/>
                    <w:sz w:val="20"/>
                  </w:rPr>
                  <w:t>1.4%</w:t>
                </w:r>
              </w:p>
            </w:tc>
            <w:tc>
              <w:tcPr>
                <w:tcW w:w="50" w:type="pct"/>
                <w:shd w:val="clear" w:color="auto" w:fill="CFF0FC"/>
                <w:noWrap/>
                <w:tcMar>
                  <w:top w:w="15" w:type="dxa"/>
                  <w:left w:w="0" w:type="dxa"/>
                  <w:bottom w:w="0" w:type="dxa"/>
                  <w:right w:w="15" w:type="dxa"/>
                </w:tcMar>
                <w:vAlign w:val="bottom"/>
              </w:tcPr>
              <w:p w14:paraId="4297649A" w14:textId="2DC6FCF4" w:rsidR="008C2C37" w:rsidRDefault="008C2C37">
                <w:pPr>
                  <w:rPr>
                    <w:rFonts w:ascii="Calibri"/>
                    <w:color w:val="000000"/>
                    <w:sz w:val="20"/>
                  </w:rPr>
                </w:pPr>
                <w:r>
                  <w:rPr>
                    <w:rFonts w:ascii="Calibri"/>
                    <w:color w:val="000000"/>
                    <w:sz w:val="2"/>
                  </w:rPr>
                  <w:t xml:space="preserve"> </w:t>
                </w:r>
              </w:p>
            </w:tc>
          </w:tr>
        </w:tbl>
      </w:sdtContent>
    </w:sdt>
    <w:p w14:paraId="567691A7" w14:textId="77777777" w:rsidR="001743F6" w:rsidRDefault="001743F6" w:rsidP="00E57EC0">
      <w:pPr>
        <w:keepNext/>
        <w:keepLines/>
        <w:spacing w:after="200"/>
        <w:jc w:val="both"/>
        <w:rPr>
          <w:rFonts w:asciiTheme="minorHAnsi" w:hAnsiTheme="minorHAnsi" w:cs="Calibri"/>
        </w:rPr>
      </w:pPr>
    </w:p>
    <w:p w14:paraId="277DB733" w14:textId="3FC77C44" w:rsidR="00681A0B" w:rsidRPr="00F76E29" w:rsidRDefault="00681A0B" w:rsidP="00E57EC0">
      <w:pPr>
        <w:keepNext/>
        <w:keepLines/>
        <w:spacing w:after="200"/>
        <w:jc w:val="both"/>
        <w:rPr>
          <w:rFonts w:asciiTheme="minorHAnsi" w:hAnsiTheme="minorHAnsi" w:cs="Calibri"/>
        </w:rPr>
      </w:pPr>
      <w:r w:rsidRPr="00F76E29">
        <w:rPr>
          <w:rFonts w:asciiTheme="minorHAnsi" w:hAnsiTheme="minorHAnsi" w:cs="Calibri"/>
        </w:rPr>
        <w:t>Joseph Coccaro, President and Chief Executive Officer, said, “During the first quarter we successfully converted the Bank to a two-tier mutual holding company structure.  We are pleased with our continued strategy to expand our loan portfolio and the positive overall impacts of doing so on assets and income. We continue our efforts to expand our market presence, improve and expand our technology platform and offerings and manage our interest rate risk.  We have been pleased with our excellent loan quality, and low</w:t>
      </w:r>
      <w:r w:rsidR="009A37DF">
        <w:rPr>
          <w:rFonts w:asciiTheme="minorHAnsi" w:hAnsiTheme="minorHAnsi" w:cs="Calibri"/>
        </w:rPr>
        <w:t xml:space="preserve"> loan delinquencies during the first </w:t>
      </w:r>
      <w:r w:rsidR="00372242">
        <w:rPr>
          <w:rFonts w:asciiTheme="minorHAnsi" w:hAnsiTheme="minorHAnsi" w:cs="Calibri"/>
        </w:rPr>
        <w:t>nine</w:t>
      </w:r>
      <w:r w:rsidR="009A37DF">
        <w:rPr>
          <w:rFonts w:asciiTheme="minorHAnsi" w:hAnsiTheme="minorHAnsi" w:cs="Calibri"/>
        </w:rPr>
        <w:t xml:space="preserve"> months of 2020</w:t>
      </w:r>
      <w:r w:rsidRPr="00F76E29">
        <w:rPr>
          <w:rFonts w:asciiTheme="minorHAnsi" w:hAnsiTheme="minorHAnsi" w:cs="Calibri"/>
        </w:rPr>
        <w:t xml:space="preserve">.” </w:t>
      </w:r>
    </w:p>
    <w:p w14:paraId="199BCC5E" w14:textId="4CA75D0C" w:rsidR="009D4D8C" w:rsidRPr="00F76E29" w:rsidRDefault="00B017B3" w:rsidP="009D4D8C">
      <w:pPr>
        <w:spacing w:after="200"/>
        <w:jc w:val="both"/>
        <w:rPr>
          <w:rFonts w:asciiTheme="minorHAnsi" w:hAnsiTheme="minorHAnsi" w:cs="Calibri"/>
        </w:rPr>
      </w:pPr>
      <w:r w:rsidRPr="00B017B3">
        <w:rPr>
          <w:rFonts w:asciiTheme="minorHAnsi" w:hAnsiTheme="minorHAnsi" w:cs="Calibri"/>
        </w:rPr>
        <w:t xml:space="preserve">Mr. </w:t>
      </w:r>
      <w:r>
        <w:rPr>
          <w:rFonts w:asciiTheme="minorHAnsi" w:hAnsiTheme="minorHAnsi" w:cs="Calibri"/>
        </w:rPr>
        <w:t>Coccaro</w:t>
      </w:r>
      <w:r w:rsidRPr="00B017B3">
        <w:rPr>
          <w:rFonts w:asciiTheme="minorHAnsi" w:hAnsiTheme="minorHAnsi" w:cs="Calibri"/>
        </w:rPr>
        <w:t xml:space="preserve"> further stated, “We continue to focus on the various ways in which we can assist our </w:t>
      </w:r>
      <w:r>
        <w:rPr>
          <w:rFonts w:asciiTheme="minorHAnsi" w:hAnsiTheme="minorHAnsi" w:cs="Calibri"/>
        </w:rPr>
        <w:t>customers</w:t>
      </w:r>
      <w:r w:rsidRPr="00B017B3">
        <w:rPr>
          <w:rFonts w:asciiTheme="minorHAnsi" w:hAnsiTheme="minorHAnsi" w:cs="Calibri"/>
        </w:rPr>
        <w:t xml:space="preserve"> who have been adversely impacted by COVID-19, </w:t>
      </w:r>
      <w:r>
        <w:rPr>
          <w:rFonts w:asciiTheme="minorHAnsi" w:hAnsiTheme="minorHAnsi" w:cs="Calibri"/>
        </w:rPr>
        <w:t>w</w:t>
      </w:r>
      <w:r w:rsidRPr="00B017B3">
        <w:rPr>
          <w:rFonts w:asciiTheme="minorHAnsi" w:hAnsiTheme="minorHAnsi" w:cs="Calibri"/>
        </w:rPr>
        <w:t xml:space="preserve">hile we recognize significant economic uncertainty lies ahead, we believe our </w:t>
      </w:r>
      <w:r>
        <w:rPr>
          <w:rFonts w:asciiTheme="minorHAnsi" w:hAnsiTheme="minorHAnsi" w:cs="Calibri"/>
        </w:rPr>
        <w:t>strong</w:t>
      </w:r>
      <w:r w:rsidRPr="00B017B3">
        <w:rPr>
          <w:rFonts w:asciiTheme="minorHAnsi" w:hAnsiTheme="minorHAnsi" w:cs="Calibri"/>
        </w:rPr>
        <w:t xml:space="preserve"> balance sheets are well positioned for such an environment.</w:t>
      </w:r>
      <w:r>
        <w:rPr>
          <w:rFonts w:asciiTheme="minorHAnsi" w:hAnsiTheme="minorHAnsi" w:cs="Calibri"/>
        </w:rPr>
        <w:t xml:space="preserve">  </w:t>
      </w:r>
      <w:r w:rsidR="009D4D8C" w:rsidRPr="00F76E29">
        <w:rPr>
          <w:rFonts w:asciiTheme="minorHAnsi" w:hAnsiTheme="minorHAnsi" w:cs="Calibri"/>
        </w:rPr>
        <w:t xml:space="preserve">The economic impact of the COVID-19 pandemic on the </w:t>
      </w:r>
      <w:r w:rsidR="009D4D8C">
        <w:rPr>
          <w:rFonts w:asciiTheme="minorHAnsi" w:hAnsiTheme="minorHAnsi" w:cs="Calibri"/>
        </w:rPr>
        <w:t>C</w:t>
      </w:r>
      <w:r w:rsidR="009D4D8C" w:rsidRPr="00F76E29">
        <w:rPr>
          <w:rFonts w:asciiTheme="minorHAnsi" w:hAnsiTheme="minorHAnsi" w:cs="Calibri"/>
        </w:rPr>
        <w:t>ompany’s operation</w:t>
      </w:r>
      <w:r w:rsidR="009D4D8C">
        <w:rPr>
          <w:rFonts w:asciiTheme="minorHAnsi" w:hAnsiTheme="minorHAnsi" w:cs="Calibri"/>
        </w:rPr>
        <w:t>s</w:t>
      </w:r>
      <w:r w:rsidR="009D4D8C" w:rsidRPr="00F76E29">
        <w:rPr>
          <w:rFonts w:asciiTheme="minorHAnsi" w:hAnsiTheme="minorHAnsi" w:cs="Calibri"/>
        </w:rPr>
        <w:t xml:space="preserve"> was not </w:t>
      </w:r>
      <w:r w:rsidR="009D4D8C">
        <w:rPr>
          <w:rFonts w:asciiTheme="minorHAnsi" w:hAnsiTheme="minorHAnsi" w:cs="Calibri"/>
        </w:rPr>
        <w:t xml:space="preserve">material </w:t>
      </w:r>
      <w:r w:rsidR="009D4D8C" w:rsidRPr="00F76E29">
        <w:rPr>
          <w:rFonts w:asciiTheme="minorHAnsi" w:hAnsiTheme="minorHAnsi" w:cs="Calibri"/>
        </w:rPr>
        <w:t xml:space="preserve">during the first </w:t>
      </w:r>
      <w:r w:rsidR="00372242">
        <w:rPr>
          <w:rFonts w:asciiTheme="minorHAnsi" w:hAnsiTheme="minorHAnsi" w:cs="Calibri"/>
        </w:rPr>
        <w:t>nine</w:t>
      </w:r>
      <w:r w:rsidR="009D4D8C" w:rsidRPr="00F76E29">
        <w:rPr>
          <w:rFonts w:asciiTheme="minorHAnsi" w:hAnsiTheme="minorHAnsi" w:cs="Calibri"/>
        </w:rPr>
        <w:t xml:space="preserve"> months ended </w:t>
      </w:r>
      <w:r w:rsidR="00372242">
        <w:rPr>
          <w:rFonts w:asciiTheme="minorHAnsi" w:hAnsiTheme="minorHAnsi" w:cs="Calibri"/>
        </w:rPr>
        <w:t>September</w:t>
      </w:r>
      <w:r w:rsidR="009D4D8C" w:rsidRPr="00F76E29">
        <w:rPr>
          <w:rFonts w:asciiTheme="minorHAnsi" w:hAnsiTheme="minorHAnsi" w:cs="Calibri"/>
        </w:rPr>
        <w:t xml:space="preserve"> 3</w:t>
      </w:r>
      <w:r w:rsidR="009D4D8C">
        <w:rPr>
          <w:rFonts w:asciiTheme="minorHAnsi" w:hAnsiTheme="minorHAnsi" w:cs="Calibri"/>
        </w:rPr>
        <w:t>0</w:t>
      </w:r>
      <w:r w:rsidR="009D4D8C" w:rsidRPr="00F76E29">
        <w:rPr>
          <w:rFonts w:asciiTheme="minorHAnsi" w:hAnsiTheme="minorHAnsi" w:cs="Calibri"/>
        </w:rPr>
        <w:t xml:space="preserve">, 2020.  However, there could be </w:t>
      </w:r>
      <w:r w:rsidR="009D4D8C">
        <w:rPr>
          <w:rFonts w:asciiTheme="minorHAnsi" w:hAnsiTheme="minorHAnsi" w:cs="Calibri"/>
        </w:rPr>
        <w:t xml:space="preserve">a more significant </w:t>
      </w:r>
      <w:r w:rsidR="009D4D8C" w:rsidRPr="00F76E29">
        <w:rPr>
          <w:rFonts w:asciiTheme="minorHAnsi" w:hAnsiTheme="minorHAnsi" w:cs="Calibri"/>
        </w:rPr>
        <w:t xml:space="preserve">impact on the </w:t>
      </w:r>
      <w:r w:rsidR="009D4D8C">
        <w:rPr>
          <w:rFonts w:asciiTheme="minorHAnsi" w:hAnsiTheme="minorHAnsi" w:cs="Calibri"/>
        </w:rPr>
        <w:t>C</w:t>
      </w:r>
      <w:r w:rsidR="009D4D8C" w:rsidRPr="00F76E29">
        <w:rPr>
          <w:rFonts w:asciiTheme="minorHAnsi" w:hAnsiTheme="minorHAnsi" w:cs="Calibri"/>
        </w:rPr>
        <w:t>ompany’s financial</w:t>
      </w:r>
      <w:r w:rsidR="009D4D8C">
        <w:rPr>
          <w:rFonts w:asciiTheme="minorHAnsi" w:hAnsiTheme="minorHAnsi" w:cs="Calibri"/>
        </w:rPr>
        <w:t xml:space="preserve"> result</w:t>
      </w:r>
      <w:r w:rsidR="009D4D8C" w:rsidRPr="00F76E29">
        <w:rPr>
          <w:rFonts w:asciiTheme="minorHAnsi" w:hAnsiTheme="minorHAnsi" w:cs="Calibri"/>
        </w:rPr>
        <w:t>s going forward due to increase</w:t>
      </w:r>
      <w:r w:rsidR="009D4D8C">
        <w:rPr>
          <w:rFonts w:asciiTheme="minorHAnsi" w:hAnsiTheme="minorHAnsi" w:cs="Calibri"/>
        </w:rPr>
        <w:t>s</w:t>
      </w:r>
      <w:r w:rsidR="009D4D8C" w:rsidRPr="00F76E29">
        <w:rPr>
          <w:rFonts w:asciiTheme="minorHAnsi" w:hAnsiTheme="minorHAnsi" w:cs="Calibri"/>
        </w:rPr>
        <w:t xml:space="preserve"> in loan delinquencies, problem assets </w:t>
      </w:r>
      <w:r w:rsidR="009D4D8C">
        <w:rPr>
          <w:rFonts w:asciiTheme="minorHAnsi" w:hAnsiTheme="minorHAnsi" w:cs="Calibri"/>
        </w:rPr>
        <w:t xml:space="preserve">or </w:t>
      </w:r>
      <w:r w:rsidR="009D4D8C" w:rsidRPr="00F76E29">
        <w:rPr>
          <w:rFonts w:asciiTheme="minorHAnsi" w:hAnsiTheme="minorHAnsi" w:cs="Calibri"/>
        </w:rPr>
        <w:t xml:space="preserve">foreclosures, </w:t>
      </w:r>
      <w:r w:rsidR="009D4D8C">
        <w:rPr>
          <w:rFonts w:asciiTheme="minorHAnsi" w:hAnsiTheme="minorHAnsi" w:cs="Calibri"/>
        </w:rPr>
        <w:t xml:space="preserve">a </w:t>
      </w:r>
      <w:r w:rsidR="009D4D8C" w:rsidRPr="00F76E29">
        <w:rPr>
          <w:rFonts w:asciiTheme="minorHAnsi" w:hAnsiTheme="minorHAnsi" w:cs="Calibri"/>
        </w:rPr>
        <w:t xml:space="preserve">decline in collateral value </w:t>
      </w:r>
      <w:r w:rsidR="009D4D8C">
        <w:rPr>
          <w:rFonts w:asciiTheme="minorHAnsi" w:hAnsiTheme="minorHAnsi" w:cs="Calibri"/>
        </w:rPr>
        <w:t xml:space="preserve">or </w:t>
      </w:r>
      <w:r w:rsidR="009D4D8C" w:rsidRPr="00F76E29">
        <w:rPr>
          <w:rFonts w:asciiTheme="minorHAnsi" w:hAnsiTheme="minorHAnsi" w:cs="Calibri"/>
        </w:rPr>
        <w:t>an increase in allowance for loan losses.  I am optimistic community banking will continue to prosper by supporting individuals and small business looking for a community bank.”</w:t>
      </w:r>
    </w:p>
    <w:p w14:paraId="52A6AFA5" w14:textId="0C26A87E" w:rsidR="008B6EB9" w:rsidRDefault="007F23BC" w:rsidP="00E57EC0">
      <w:pPr>
        <w:keepNext/>
        <w:spacing w:line="259" w:lineRule="auto"/>
        <w:rPr>
          <w:rFonts w:asciiTheme="minorHAnsi" w:hAnsiTheme="minorHAnsi" w:cs="Calibri"/>
          <w:b/>
        </w:rPr>
      </w:pPr>
      <w:r w:rsidRPr="00F76E29">
        <w:rPr>
          <w:rFonts w:asciiTheme="minorHAnsi" w:hAnsiTheme="minorHAnsi" w:cs="Calibri"/>
          <w:b/>
        </w:rPr>
        <w:t>Income Statement Analysis</w:t>
      </w:r>
    </w:p>
    <w:p w14:paraId="421AB18E" w14:textId="77777777" w:rsidR="001743F6" w:rsidRPr="00F76E29" w:rsidRDefault="001743F6" w:rsidP="00E57EC0">
      <w:pPr>
        <w:keepNext/>
        <w:spacing w:line="259" w:lineRule="auto"/>
        <w:rPr>
          <w:rFonts w:asciiTheme="minorHAnsi" w:hAnsiTheme="minorHAnsi" w:cs="Calibri"/>
        </w:rPr>
      </w:pPr>
    </w:p>
    <w:p w14:paraId="2085505F" w14:textId="0623297D" w:rsidR="009D4D8C" w:rsidRDefault="009D4D8C" w:rsidP="009D4D8C">
      <w:pPr>
        <w:jc w:val="both"/>
        <w:rPr>
          <w:rFonts w:asciiTheme="minorHAnsi" w:hAnsiTheme="minorHAnsi" w:cs="Calibri"/>
        </w:rPr>
      </w:pPr>
      <w:r w:rsidRPr="00F76E29">
        <w:rPr>
          <w:rFonts w:asciiTheme="minorHAnsi" w:hAnsiTheme="minorHAnsi" w:cs="Calibri"/>
        </w:rPr>
        <w:t xml:space="preserve">Compared to the </w:t>
      </w:r>
      <w:r w:rsidR="002606E8">
        <w:rPr>
          <w:rFonts w:asciiTheme="minorHAnsi" w:hAnsiTheme="minorHAnsi" w:cs="Calibri"/>
        </w:rPr>
        <w:t>third</w:t>
      </w:r>
      <w:r w:rsidRPr="00F76E29">
        <w:rPr>
          <w:rFonts w:asciiTheme="minorHAnsi" w:hAnsiTheme="minorHAnsi" w:cs="Calibri"/>
        </w:rPr>
        <w:t xml:space="preserve"> quarter of 2019, net interest income increased $</w:t>
      </w:r>
      <w:r w:rsidR="00BB5506">
        <w:rPr>
          <w:rFonts w:asciiTheme="minorHAnsi" w:hAnsiTheme="minorHAnsi" w:cs="Calibri"/>
        </w:rPr>
        <w:t>843</w:t>
      </w:r>
      <w:r w:rsidRPr="00F76E29">
        <w:rPr>
          <w:rFonts w:asciiTheme="minorHAnsi" w:hAnsiTheme="minorHAnsi" w:cs="Calibri"/>
        </w:rPr>
        <w:t xml:space="preserve">,000, or </w:t>
      </w:r>
      <w:r w:rsidR="00BB5506">
        <w:rPr>
          <w:rFonts w:asciiTheme="minorHAnsi" w:hAnsiTheme="minorHAnsi" w:cs="Calibri"/>
        </w:rPr>
        <w:t>30</w:t>
      </w:r>
      <w:r w:rsidRPr="00F76E29">
        <w:rPr>
          <w:rFonts w:asciiTheme="minorHAnsi" w:hAnsiTheme="minorHAnsi" w:cs="Calibri"/>
        </w:rPr>
        <w:t>.</w:t>
      </w:r>
      <w:r w:rsidR="002606E8">
        <w:rPr>
          <w:rFonts w:asciiTheme="minorHAnsi" w:hAnsiTheme="minorHAnsi" w:cs="Calibri"/>
        </w:rPr>
        <w:t>7</w:t>
      </w:r>
      <w:r w:rsidRPr="00F76E29">
        <w:rPr>
          <w:rFonts w:asciiTheme="minorHAnsi" w:hAnsiTheme="minorHAnsi" w:cs="Calibri"/>
        </w:rPr>
        <w:t>%, to $</w:t>
      </w:r>
      <w:r w:rsidR="00BB5506">
        <w:rPr>
          <w:rFonts w:asciiTheme="minorHAnsi" w:hAnsiTheme="minorHAnsi" w:cs="Calibri"/>
        </w:rPr>
        <w:t>3</w:t>
      </w:r>
      <w:r w:rsidRPr="00F76E29">
        <w:rPr>
          <w:rFonts w:asciiTheme="minorHAnsi" w:hAnsiTheme="minorHAnsi" w:cs="Calibri"/>
        </w:rPr>
        <w:t>.</w:t>
      </w:r>
      <w:r w:rsidR="00BB5506">
        <w:rPr>
          <w:rFonts w:asciiTheme="minorHAnsi" w:hAnsiTheme="minorHAnsi" w:cs="Calibri"/>
        </w:rPr>
        <w:t>6</w:t>
      </w:r>
      <w:r w:rsidRPr="00F76E29">
        <w:rPr>
          <w:rFonts w:asciiTheme="minorHAnsi" w:hAnsiTheme="minorHAnsi" w:cs="Calibri"/>
        </w:rPr>
        <w:t xml:space="preserve"> million</w:t>
      </w:r>
      <w:r>
        <w:rPr>
          <w:rFonts w:asciiTheme="minorHAnsi" w:hAnsiTheme="minorHAnsi" w:cs="Calibri"/>
        </w:rPr>
        <w:t xml:space="preserve"> for the three months ended </w:t>
      </w:r>
      <w:r w:rsidR="002606E8">
        <w:rPr>
          <w:rFonts w:asciiTheme="minorHAnsi" w:hAnsiTheme="minorHAnsi" w:cs="Calibri"/>
        </w:rPr>
        <w:t>September</w:t>
      </w:r>
      <w:r>
        <w:rPr>
          <w:rFonts w:asciiTheme="minorHAnsi" w:hAnsiTheme="minorHAnsi" w:cs="Calibri"/>
        </w:rPr>
        <w:t xml:space="preserve"> 30, 2020</w:t>
      </w:r>
      <w:r w:rsidRPr="00F76E29">
        <w:rPr>
          <w:rFonts w:asciiTheme="minorHAnsi" w:hAnsiTheme="minorHAnsi" w:cs="Calibri"/>
        </w:rPr>
        <w:t xml:space="preserve">. </w:t>
      </w:r>
      <w:r>
        <w:rPr>
          <w:rFonts w:asciiTheme="minorHAnsi" w:hAnsiTheme="minorHAnsi" w:cs="Calibri"/>
        </w:rPr>
        <w:t>During the same period, o</w:t>
      </w:r>
      <w:r w:rsidRPr="00F76E29">
        <w:rPr>
          <w:rFonts w:asciiTheme="minorHAnsi" w:hAnsiTheme="minorHAnsi" w:cs="Calibri"/>
        </w:rPr>
        <w:t>ur net interest margin increased from 1.7</w:t>
      </w:r>
      <w:r w:rsidR="00BB5506">
        <w:rPr>
          <w:rFonts w:asciiTheme="minorHAnsi" w:hAnsiTheme="minorHAnsi" w:cs="Calibri"/>
        </w:rPr>
        <w:t>4</w:t>
      </w:r>
      <w:r w:rsidRPr="00F76E29">
        <w:rPr>
          <w:rFonts w:asciiTheme="minorHAnsi" w:hAnsiTheme="minorHAnsi" w:cs="Calibri"/>
        </w:rPr>
        <w:t>% to 1.</w:t>
      </w:r>
      <w:r w:rsidR="002606E8">
        <w:rPr>
          <w:rFonts w:asciiTheme="minorHAnsi" w:hAnsiTheme="minorHAnsi" w:cs="Calibri"/>
        </w:rPr>
        <w:t>9</w:t>
      </w:r>
      <w:r w:rsidR="00BB5506">
        <w:rPr>
          <w:rFonts w:asciiTheme="minorHAnsi" w:hAnsiTheme="minorHAnsi" w:cs="Calibri"/>
        </w:rPr>
        <w:t>7</w:t>
      </w:r>
      <w:r w:rsidRPr="00F76E29">
        <w:rPr>
          <w:rFonts w:asciiTheme="minorHAnsi" w:hAnsiTheme="minorHAnsi" w:cs="Calibri"/>
        </w:rPr>
        <w:t xml:space="preserve">%, while the ratio of average interest-earning assets to average interest-bearing liabilities </w:t>
      </w:r>
      <w:r w:rsidR="002606E8">
        <w:rPr>
          <w:rFonts w:asciiTheme="minorHAnsi" w:hAnsiTheme="minorHAnsi" w:cs="Calibri"/>
        </w:rPr>
        <w:t>increased</w:t>
      </w:r>
      <w:r w:rsidRPr="00F76E29">
        <w:rPr>
          <w:rFonts w:asciiTheme="minorHAnsi" w:hAnsiTheme="minorHAnsi" w:cs="Calibri"/>
        </w:rPr>
        <w:t xml:space="preserve"> </w:t>
      </w:r>
      <w:r w:rsidR="00BB5506">
        <w:rPr>
          <w:rFonts w:asciiTheme="minorHAnsi" w:hAnsiTheme="minorHAnsi" w:cs="Calibri"/>
        </w:rPr>
        <w:t>8</w:t>
      </w:r>
      <w:r w:rsidRPr="00F76E29">
        <w:rPr>
          <w:rFonts w:asciiTheme="minorHAnsi" w:hAnsiTheme="minorHAnsi" w:cs="Calibri"/>
        </w:rPr>
        <w:t>.</w:t>
      </w:r>
      <w:r w:rsidR="00BB5506">
        <w:rPr>
          <w:rFonts w:asciiTheme="minorHAnsi" w:hAnsiTheme="minorHAnsi" w:cs="Calibri"/>
        </w:rPr>
        <w:t>6</w:t>
      </w:r>
      <w:r w:rsidRPr="00F76E29">
        <w:rPr>
          <w:rFonts w:asciiTheme="minorHAnsi" w:hAnsiTheme="minorHAnsi" w:cs="Calibri"/>
        </w:rPr>
        <w:t>% to 12</w:t>
      </w:r>
      <w:r w:rsidR="002606E8">
        <w:rPr>
          <w:rFonts w:asciiTheme="minorHAnsi" w:hAnsiTheme="minorHAnsi" w:cs="Calibri"/>
        </w:rPr>
        <w:t>1</w:t>
      </w:r>
      <w:r w:rsidRPr="00F76E29">
        <w:rPr>
          <w:rFonts w:asciiTheme="minorHAnsi" w:hAnsiTheme="minorHAnsi" w:cs="Calibri"/>
        </w:rPr>
        <w:t>.</w:t>
      </w:r>
      <w:r w:rsidR="00BB5506">
        <w:rPr>
          <w:rFonts w:asciiTheme="minorHAnsi" w:hAnsiTheme="minorHAnsi" w:cs="Calibri"/>
        </w:rPr>
        <w:t>75</w:t>
      </w:r>
      <w:r w:rsidRPr="00F76E29">
        <w:rPr>
          <w:rFonts w:asciiTheme="minorHAnsi" w:hAnsiTheme="minorHAnsi" w:cs="Calibri"/>
        </w:rPr>
        <w:t>%.</w:t>
      </w:r>
      <w:r>
        <w:rPr>
          <w:rFonts w:asciiTheme="minorHAnsi" w:hAnsiTheme="minorHAnsi" w:cs="Calibri"/>
        </w:rPr>
        <w:t xml:space="preserve">  </w:t>
      </w:r>
      <w:r>
        <w:rPr>
          <w:rFonts w:ascii="Calibri" w:hAnsi="Calibri" w:cs="Calibri"/>
        </w:rPr>
        <w:t xml:space="preserve">For the </w:t>
      </w:r>
      <w:r w:rsidR="002606E8">
        <w:rPr>
          <w:rFonts w:ascii="Calibri" w:hAnsi="Calibri" w:cs="Calibri"/>
        </w:rPr>
        <w:t>nine</w:t>
      </w:r>
      <w:r>
        <w:rPr>
          <w:rFonts w:ascii="Calibri" w:hAnsi="Calibri" w:cs="Calibri"/>
        </w:rPr>
        <w:t xml:space="preserve"> months ended </w:t>
      </w:r>
      <w:r w:rsidR="002606E8">
        <w:rPr>
          <w:rFonts w:ascii="Calibri" w:hAnsi="Calibri" w:cs="Calibri"/>
        </w:rPr>
        <w:t>September</w:t>
      </w:r>
      <w:r>
        <w:rPr>
          <w:rFonts w:ascii="Calibri" w:hAnsi="Calibri" w:cs="Calibri"/>
        </w:rPr>
        <w:t xml:space="preserve"> 30, 2020, net interest income increased $</w:t>
      </w:r>
      <w:r w:rsidR="00BB5506">
        <w:rPr>
          <w:rFonts w:ascii="Calibri" w:hAnsi="Calibri" w:cs="Calibri"/>
        </w:rPr>
        <w:t>1.6 million</w:t>
      </w:r>
      <w:r>
        <w:rPr>
          <w:rFonts w:ascii="Calibri" w:hAnsi="Calibri" w:cs="Calibri"/>
        </w:rPr>
        <w:t xml:space="preserve">, or </w:t>
      </w:r>
      <w:r w:rsidR="00BB5506">
        <w:rPr>
          <w:rFonts w:ascii="Calibri" w:hAnsi="Calibri" w:cs="Calibri"/>
        </w:rPr>
        <w:t>19</w:t>
      </w:r>
      <w:r>
        <w:rPr>
          <w:rFonts w:ascii="Calibri" w:hAnsi="Calibri" w:cs="Calibri"/>
        </w:rPr>
        <w:t>.</w:t>
      </w:r>
      <w:r w:rsidR="00BB5506">
        <w:rPr>
          <w:rFonts w:ascii="Calibri" w:hAnsi="Calibri" w:cs="Calibri"/>
        </w:rPr>
        <w:t>4</w:t>
      </w:r>
      <w:r>
        <w:rPr>
          <w:rFonts w:ascii="Calibri" w:hAnsi="Calibri" w:cs="Calibri"/>
        </w:rPr>
        <w:t>%, to $</w:t>
      </w:r>
      <w:r w:rsidR="002606E8">
        <w:rPr>
          <w:rFonts w:ascii="Calibri" w:hAnsi="Calibri" w:cs="Calibri"/>
        </w:rPr>
        <w:t>1</w:t>
      </w:r>
      <w:r w:rsidR="00BB5506">
        <w:rPr>
          <w:rFonts w:ascii="Calibri" w:hAnsi="Calibri" w:cs="Calibri"/>
        </w:rPr>
        <w:t>0</w:t>
      </w:r>
      <w:r>
        <w:rPr>
          <w:rFonts w:ascii="Calibri" w:hAnsi="Calibri" w:cs="Calibri"/>
        </w:rPr>
        <w:t>.</w:t>
      </w:r>
      <w:r w:rsidR="00BB5506">
        <w:rPr>
          <w:rFonts w:ascii="Calibri" w:hAnsi="Calibri" w:cs="Calibri"/>
        </w:rPr>
        <w:t>0</w:t>
      </w:r>
      <w:r>
        <w:rPr>
          <w:rFonts w:ascii="Calibri" w:hAnsi="Calibri" w:cs="Calibri"/>
        </w:rPr>
        <w:t xml:space="preserve"> million. </w:t>
      </w:r>
      <w:r w:rsidR="003E00BC">
        <w:rPr>
          <w:rFonts w:ascii="Calibri" w:hAnsi="Calibri" w:cs="Calibri"/>
        </w:rPr>
        <w:t>For the nine months ended September 30, 2020</w:t>
      </w:r>
      <w:r>
        <w:rPr>
          <w:rFonts w:ascii="Calibri" w:hAnsi="Calibri" w:cs="Calibri"/>
        </w:rPr>
        <w:t xml:space="preserve"> there was a </w:t>
      </w:r>
      <w:r w:rsidR="00BB5506">
        <w:rPr>
          <w:rFonts w:ascii="Calibri" w:hAnsi="Calibri" w:cs="Calibri"/>
        </w:rPr>
        <w:t>1</w:t>
      </w:r>
      <w:r w:rsidR="000A3D64">
        <w:rPr>
          <w:rFonts w:ascii="Calibri" w:hAnsi="Calibri" w:cs="Calibri"/>
        </w:rPr>
        <w:t>4</w:t>
      </w:r>
      <w:r w:rsidR="005A58C0">
        <w:rPr>
          <w:rFonts w:ascii="Calibri" w:hAnsi="Calibri" w:cs="Calibri"/>
        </w:rPr>
        <w:t>-</w:t>
      </w:r>
      <w:r>
        <w:rPr>
          <w:rFonts w:ascii="Calibri" w:hAnsi="Calibri" w:cs="Calibri"/>
        </w:rPr>
        <w:t>basis point increase in net interest margin to 1.</w:t>
      </w:r>
      <w:r w:rsidR="00BB5506">
        <w:rPr>
          <w:rFonts w:ascii="Calibri" w:hAnsi="Calibri" w:cs="Calibri"/>
        </w:rPr>
        <w:t>90</w:t>
      </w:r>
      <w:r>
        <w:rPr>
          <w:rFonts w:ascii="Calibri" w:hAnsi="Calibri" w:cs="Calibri"/>
        </w:rPr>
        <w:t xml:space="preserve">%, while the ratio of </w:t>
      </w:r>
      <w:r>
        <w:rPr>
          <w:rFonts w:ascii="Calibri" w:hAnsi="Calibri" w:cs="Calibri"/>
        </w:rPr>
        <w:lastRenderedPageBreak/>
        <w:t>average interest-earning assets to average interest-bearing liabilities improved 9.</w:t>
      </w:r>
      <w:r w:rsidR="00C21036">
        <w:rPr>
          <w:rFonts w:ascii="Calibri" w:hAnsi="Calibri" w:cs="Calibri"/>
        </w:rPr>
        <w:t>4</w:t>
      </w:r>
      <w:r>
        <w:rPr>
          <w:rFonts w:ascii="Calibri" w:hAnsi="Calibri" w:cs="Calibri"/>
        </w:rPr>
        <w:t>% to 12</w:t>
      </w:r>
      <w:r w:rsidR="00A51664">
        <w:rPr>
          <w:rFonts w:ascii="Calibri" w:hAnsi="Calibri" w:cs="Calibri"/>
        </w:rPr>
        <w:t>1</w:t>
      </w:r>
      <w:r>
        <w:rPr>
          <w:rFonts w:ascii="Calibri" w:hAnsi="Calibri" w:cs="Calibri"/>
        </w:rPr>
        <w:t>.</w:t>
      </w:r>
      <w:r w:rsidR="00A51664">
        <w:rPr>
          <w:rFonts w:ascii="Calibri" w:hAnsi="Calibri" w:cs="Calibri"/>
        </w:rPr>
        <w:t>9</w:t>
      </w:r>
      <w:r>
        <w:rPr>
          <w:rFonts w:ascii="Calibri" w:hAnsi="Calibri" w:cs="Calibri"/>
        </w:rPr>
        <w:t xml:space="preserve">%. </w:t>
      </w:r>
      <w:r w:rsidRPr="00F76E29">
        <w:rPr>
          <w:rFonts w:asciiTheme="minorHAnsi" w:hAnsiTheme="minorHAnsi" w:cs="Calibri"/>
        </w:rPr>
        <w:t xml:space="preserve">The increase in net interest margin during </w:t>
      </w:r>
      <w:r>
        <w:rPr>
          <w:rFonts w:asciiTheme="minorHAnsi" w:hAnsiTheme="minorHAnsi" w:cs="Calibri"/>
        </w:rPr>
        <w:t xml:space="preserve">the three and </w:t>
      </w:r>
      <w:r w:rsidR="00BB5506">
        <w:rPr>
          <w:rFonts w:asciiTheme="minorHAnsi" w:hAnsiTheme="minorHAnsi" w:cs="Calibri"/>
        </w:rPr>
        <w:t>nine</w:t>
      </w:r>
      <w:r>
        <w:rPr>
          <w:rFonts w:asciiTheme="minorHAnsi" w:hAnsiTheme="minorHAnsi" w:cs="Calibri"/>
        </w:rPr>
        <w:t xml:space="preserve"> months ended </w:t>
      </w:r>
      <w:r w:rsidR="00BB5506">
        <w:rPr>
          <w:rFonts w:asciiTheme="minorHAnsi" w:hAnsiTheme="minorHAnsi" w:cs="Calibri"/>
        </w:rPr>
        <w:t>September</w:t>
      </w:r>
      <w:r>
        <w:rPr>
          <w:rFonts w:asciiTheme="minorHAnsi" w:hAnsiTheme="minorHAnsi" w:cs="Calibri"/>
        </w:rPr>
        <w:t xml:space="preserve"> 30,</w:t>
      </w:r>
      <w:r w:rsidRPr="00F76E29">
        <w:rPr>
          <w:rFonts w:asciiTheme="minorHAnsi" w:hAnsiTheme="minorHAnsi" w:cs="Calibri"/>
        </w:rPr>
        <w:t xml:space="preserve"> 2020 was mostly due to the higher ratio of average interest-earning assets to average interest-bearing liabilities</w:t>
      </w:r>
    </w:p>
    <w:p w14:paraId="35690336" w14:textId="77777777" w:rsidR="009D4D8C" w:rsidRDefault="009D4D8C" w:rsidP="009D4D8C">
      <w:pPr>
        <w:jc w:val="both"/>
        <w:rPr>
          <w:rFonts w:ascii="Calibri" w:hAnsi="Calibri" w:cs="Calibri"/>
        </w:rPr>
      </w:pPr>
    </w:p>
    <w:p w14:paraId="18ACF906" w14:textId="40CD90F3" w:rsidR="009D4D8C" w:rsidRPr="00F76E29" w:rsidRDefault="009D4D8C" w:rsidP="009D4D8C">
      <w:pPr>
        <w:spacing w:after="200"/>
        <w:jc w:val="both"/>
        <w:rPr>
          <w:rFonts w:asciiTheme="minorHAnsi" w:hAnsiTheme="minorHAnsi" w:cs="Calibri"/>
        </w:rPr>
      </w:pPr>
      <w:r w:rsidRPr="00F76E29">
        <w:rPr>
          <w:rFonts w:asciiTheme="minorHAnsi" w:hAnsiTheme="minorHAnsi" w:cs="Calibri"/>
        </w:rPr>
        <w:t xml:space="preserve">We recorded a provision for loan losses </w:t>
      </w:r>
      <w:r>
        <w:rPr>
          <w:rFonts w:asciiTheme="minorHAnsi" w:hAnsiTheme="minorHAnsi" w:cs="Calibri"/>
        </w:rPr>
        <w:t xml:space="preserve">of </w:t>
      </w:r>
      <w:r w:rsidRPr="00F76E29">
        <w:rPr>
          <w:rFonts w:asciiTheme="minorHAnsi" w:hAnsiTheme="minorHAnsi" w:cs="Calibri"/>
        </w:rPr>
        <w:t>$</w:t>
      </w:r>
      <w:r>
        <w:rPr>
          <w:rFonts w:asciiTheme="minorHAnsi" w:hAnsiTheme="minorHAnsi" w:cs="Calibri"/>
        </w:rPr>
        <w:t>2</w:t>
      </w:r>
      <w:r w:rsidRPr="00F76E29">
        <w:rPr>
          <w:rFonts w:asciiTheme="minorHAnsi" w:hAnsiTheme="minorHAnsi" w:cs="Calibri"/>
        </w:rPr>
        <w:t>5,000</w:t>
      </w:r>
      <w:r>
        <w:rPr>
          <w:rFonts w:asciiTheme="minorHAnsi" w:hAnsiTheme="minorHAnsi" w:cs="Calibri"/>
        </w:rPr>
        <w:t xml:space="preserve"> and $2</w:t>
      </w:r>
      <w:r w:rsidR="00BB5506">
        <w:rPr>
          <w:rFonts w:asciiTheme="minorHAnsi" w:hAnsiTheme="minorHAnsi" w:cs="Calibri"/>
        </w:rPr>
        <w:t>75</w:t>
      </w:r>
      <w:r>
        <w:rPr>
          <w:rFonts w:asciiTheme="minorHAnsi" w:hAnsiTheme="minorHAnsi" w:cs="Calibri"/>
        </w:rPr>
        <w:t>,000</w:t>
      </w:r>
      <w:r w:rsidRPr="00F76E29">
        <w:rPr>
          <w:rFonts w:asciiTheme="minorHAnsi" w:hAnsiTheme="minorHAnsi" w:cs="Calibri"/>
        </w:rPr>
        <w:t xml:space="preserve"> for the three</w:t>
      </w:r>
      <w:r w:rsidR="005A58C0">
        <w:rPr>
          <w:rFonts w:asciiTheme="minorHAnsi" w:hAnsiTheme="minorHAnsi" w:cs="Calibri"/>
        </w:rPr>
        <w:t>-</w:t>
      </w:r>
      <w:r>
        <w:rPr>
          <w:rFonts w:asciiTheme="minorHAnsi" w:hAnsiTheme="minorHAnsi" w:cs="Calibri"/>
        </w:rPr>
        <w:t xml:space="preserve"> and </w:t>
      </w:r>
      <w:r w:rsidR="00BB5506">
        <w:rPr>
          <w:rFonts w:asciiTheme="minorHAnsi" w:hAnsiTheme="minorHAnsi" w:cs="Calibri"/>
        </w:rPr>
        <w:t>nine</w:t>
      </w:r>
      <w:r w:rsidR="005A58C0">
        <w:rPr>
          <w:rFonts w:asciiTheme="minorHAnsi" w:hAnsiTheme="minorHAnsi" w:cs="Calibri"/>
        </w:rPr>
        <w:t>-</w:t>
      </w:r>
      <w:r w:rsidRPr="00F76E29">
        <w:rPr>
          <w:rFonts w:asciiTheme="minorHAnsi" w:hAnsiTheme="minorHAnsi" w:cs="Calibri"/>
        </w:rPr>
        <w:t>month</w:t>
      </w:r>
      <w:r>
        <w:rPr>
          <w:rFonts w:asciiTheme="minorHAnsi" w:hAnsiTheme="minorHAnsi" w:cs="Calibri"/>
        </w:rPr>
        <w:t xml:space="preserve"> periods</w:t>
      </w:r>
      <w:r w:rsidRPr="00F76E29">
        <w:rPr>
          <w:rFonts w:asciiTheme="minorHAnsi" w:hAnsiTheme="minorHAnsi" w:cs="Calibri"/>
        </w:rPr>
        <w:t xml:space="preserve"> ended </w:t>
      </w:r>
      <w:r w:rsidR="00BB5506">
        <w:rPr>
          <w:rFonts w:asciiTheme="minorHAnsi" w:hAnsiTheme="minorHAnsi" w:cs="Calibri"/>
        </w:rPr>
        <w:t>September</w:t>
      </w:r>
      <w:r w:rsidRPr="00F76E29">
        <w:rPr>
          <w:rFonts w:asciiTheme="minorHAnsi" w:hAnsiTheme="minorHAnsi" w:cs="Calibri"/>
        </w:rPr>
        <w:t xml:space="preserve"> 3</w:t>
      </w:r>
      <w:r>
        <w:rPr>
          <w:rFonts w:asciiTheme="minorHAnsi" w:hAnsiTheme="minorHAnsi" w:cs="Calibri"/>
        </w:rPr>
        <w:t>0</w:t>
      </w:r>
      <w:r w:rsidRPr="00F76E29">
        <w:rPr>
          <w:rFonts w:asciiTheme="minorHAnsi" w:hAnsiTheme="minorHAnsi" w:cs="Calibri"/>
        </w:rPr>
        <w:t>, 2020</w:t>
      </w:r>
      <w:r>
        <w:rPr>
          <w:rFonts w:asciiTheme="minorHAnsi" w:hAnsiTheme="minorHAnsi" w:cs="Calibri"/>
        </w:rPr>
        <w:t>, respectively,</w:t>
      </w:r>
      <w:r w:rsidRPr="00F76E29">
        <w:rPr>
          <w:rFonts w:asciiTheme="minorHAnsi" w:hAnsiTheme="minorHAnsi" w:cs="Calibri"/>
        </w:rPr>
        <w:t xml:space="preserve"> compared to no provision for loans losses for the same period</w:t>
      </w:r>
      <w:r>
        <w:rPr>
          <w:rFonts w:asciiTheme="minorHAnsi" w:hAnsiTheme="minorHAnsi" w:cs="Calibri"/>
        </w:rPr>
        <w:t>s</w:t>
      </w:r>
      <w:r w:rsidRPr="00F76E29">
        <w:rPr>
          <w:rFonts w:asciiTheme="minorHAnsi" w:hAnsiTheme="minorHAnsi" w:cs="Calibri"/>
        </w:rPr>
        <w:t xml:space="preserve"> last year.</w:t>
      </w:r>
      <w:r>
        <w:rPr>
          <w:rFonts w:asciiTheme="minorHAnsi" w:hAnsiTheme="minorHAnsi" w:cs="Calibri"/>
        </w:rPr>
        <w:t xml:space="preserve"> </w:t>
      </w:r>
      <w:r w:rsidRPr="00F76E29">
        <w:rPr>
          <w:rFonts w:asciiTheme="minorHAnsi" w:hAnsiTheme="minorHAnsi" w:cs="Calibri"/>
        </w:rPr>
        <w:t xml:space="preserve"> Higher </w:t>
      </w:r>
      <w:r>
        <w:rPr>
          <w:rFonts w:asciiTheme="minorHAnsi" w:hAnsiTheme="minorHAnsi" w:cs="Calibri"/>
        </w:rPr>
        <w:t xml:space="preserve">commercial real estate </w:t>
      </w:r>
      <w:r w:rsidRPr="00F76E29">
        <w:rPr>
          <w:rFonts w:asciiTheme="minorHAnsi" w:hAnsiTheme="minorHAnsi" w:cs="Calibri"/>
        </w:rPr>
        <w:t>loan balances</w:t>
      </w:r>
      <w:r>
        <w:rPr>
          <w:rFonts w:asciiTheme="minorHAnsi" w:hAnsiTheme="minorHAnsi" w:cs="Calibri"/>
        </w:rPr>
        <w:t xml:space="preserve"> and increased risks factors associated with COVID 19 </w:t>
      </w:r>
      <w:r w:rsidR="002776BC">
        <w:rPr>
          <w:rFonts w:asciiTheme="minorHAnsi" w:hAnsiTheme="minorHAnsi" w:cs="Calibri"/>
        </w:rPr>
        <w:t>were</w:t>
      </w:r>
      <w:r w:rsidRPr="00F76E29">
        <w:rPr>
          <w:rFonts w:asciiTheme="minorHAnsi" w:hAnsiTheme="minorHAnsi" w:cs="Calibri"/>
        </w:rPr>
        <w:t xml:space="preserve"> the reason</w:t>
      </w:r>
      <w:r w:rsidR="00017959">
        <w:rPr>
          <w:rFonts w:asciiTheme="minorHAnsi" w:hAnsiTheme="minorHAnsi" w:cs="Calibri"/>
        </w:rPr>
        <w:t>s</w:t>
      </w:r>
      <w:r w:rsidRPr="00F76E29">
        <w:rPr>
          <w:rFonts w:asciiTheme="minorHAnsi" w:hAnsiTheme="minorHAnsi" w:cs="Calibri"/>
        </w:rPr>
        <w:t xml:space="preserve"> for the provision</w:t>
      </w:r>
      <w:r w:rsidR="003E00BC">
        <w:rPr>
          <w:rFonts w:asciiTheme="minorHAnsi" w:hAnsiTheme="minorHAnsi" w:cs="Calibri"/>
        </w:rPr>
        <w:t>s</w:t>
      </w:r>
      <w:r>
        <w:rPr>
          <w:rFonts w:asciiTheme="minorHAnsi" w:hAnsiTheme="minorHAnsi" w:cs="Calibri"/>
        </w:rPr>
        <w:t>.</w:t>
      </w:r>
      <w:r w:rsidRPr="00F76E29">
        <w:rPr>
          <w:rFonts w:asciiTheme="minorHAnsi" w:hAnsiTheme="minorHAnsi" w:cs="Calibri"/>
        </w:rPr>
        <w:t xml:space="preserve"> </w:t>
      </w:r>
    </w:p>
    <w:p w14:paraId="3EDA1CD1" w14:textId="4EA6E476" w:rsidR="009D4D8C" w:rsidRPr="00EF40A7" w:rsidRDefault="009D4D8C" w:rsidP="009D4D8C">
      <w:pPr>
        <w:spacing w:after="200"/>
        <w:jc w:val="both"/>
        <w:rPr>
          <w:rFonts w:asciiTheme="minorHAnsi" w:hAnsiTheme="minorHAnsi" w:cs="Calibri"/>
        </w:rPr>
      </w:pPr>
      <w:r w:rsidRPr="00EF40A7">
        <w:rPr>
          <w:rFonts w:asciiTheme="minorHAnsi" w:hAnsiTheme="minorHAnsi" w:cs="Calibri"/>
        </w:rPr>
        <w:t>Non-interest income was $</w:t>
      </w:r>
      <w:r w:rsidR="00BB5506">
        <w:rPr>
          <w:rFonts w:asciiTheme="minorHAnsi" w:hAnsiTheme="minorHAnsi" w:cs="Calibri"/>
        </w:rPr>
        <w:t>108</w:t>
      </w:r>
      <w:r w:rsidRPr="00EF40A7">
        <w:rPr>
          <w:rFonts w:asciiTheme="minorHAnsi" w:hAnsiTheme="minorHAnsi" w:cs="Calibri"/>
        </w:rPr>
        <w:t xml:space="preserve">,000 for the three months </w:t>
      </w:r>
      <w:r w:rsidR="00BB5506">
        <w:rPr>
          <w:rFonts w:asciiTheme="minorHAnsi" w:hAnsiTheme="minorHAnsi" w:cs="Calibri"/>
        </w:rPr>
        <w:t>September</w:t>
      </w:r>
      <w:r w:rsidRPr="00EF40A7">
        <w:rPr>
          <w:rFonts w:asciiTheme="minorHAnsi" w:hAnsiTheme="minorHAnsi" w:cs="Calibri"/>
        </w:rPr>
        <w:t xml:space="preserve"> 3</w:t>
      </w:r>
      <w:r>
        <w:rPr>
          <w:rFonts w:asciiTheme="minorHAnsi" w:hAnsiTheme="minorHAnsi" w:cs="Calibri"/>
        </w:rPr>
        <w:t>0</w:t>
      </w:r>
      <w:r w:rsidRPr="00EF40A7">
        <w:rPr>
          <w:rFonts w:asciiTheme="minorHAnsi" w:hAnsiTheme="minorHAnsi" w:cs="Calibri"/>
        </w:rPr>
        <w:t>, 20</w:t>
      </w:r>
      <w:r>
        <w:rPr>
          <w:rFonts w:asciiTheme="minorHAnsi" w:hAnsiTheme="minorHAnsi" w:cs="Calibri"/>
        </w:rPr>
        <w:t>20</w:t>
      </w:r>
      <w:r w:rsidRPr="00EF40A7">
        <w:rPr>
          <w:rFonts w:asciiTheme="minorHAnsi" w:hAnsiTheme="minorHAnsi" w:cs="Calibri"/>
        </w:rPr>
        <w:t xml:space="preserve">, a </w:t>
      </w:r>
      <w:r w:rsidR="00BB5506">
        <w:rPr>
          <w:rFonts w:asciiTheme="minorHAnsi" w:hAnsiTheme="minorHAnsi" w:cs="Calibri"/>
        </w:rPr>
        <w:t>de</w:t>
      </w:r>
      <w:r w:rsidRPr="00EF40A7">
        <w:rPr>
          <w:rFonts w:asciiTheme="minorHAnsi" w:hAnsiTheme="minorHAnsi" w:cs="Calibri"/>
        </w:rPr>
        <w:t>crease of $</w:t>
      </w:r>
      <w:r w:rsidR="00BB5506">
        <w:rPr>
          <w:rFonts w:asciiTheme="minorHAnsi" w:hAnsiTheme="minorHAnsi" w:cs="Calibri"/>
        </w:rPr>
        <w:t>24</w:t>
      </w:r>
      <w:r w:rsidRPr="00EF40A7">
        <w:rPr>
          <w:rFonts w:asciiTheme="minorHAnsi" w:hAnsiTheme="minorHAnsi" w:cs="Calibri"/>
        </w:rPr>
        <w:t xml:space="preserve">,000, or </w:t>
      </w:r>
      <w:r w:rsidR="00BB5506">
        <w:rPr>
          <w:rFonts w:asciiTheme="minorHAnsi" w:hAnsiTheme="minorHAnsi" w:cs="Calibri"/>
        </w:rPr>
        <w:t>18</w:t>
      </w:r>
      <w:r w:rsidRPr="00EF40A7">
        <w:rPr>
          <w:rFonts w:asciiTheme="minorHAnsi" w:hAnsiTheme="minorHAnsi" w:cs="Calibri"/>
        </w:rPr>
        <w:t>.</w:t>
      </w:r>
      <w:r w:rsidR="00BB5506">
        <w:rPr>
          <w:rFonts w:asciiTheme="minorHAnsi" w:hAnsiTheme="minorHAnsi" w:cs="Calibri"/>
        </w:rPr>
        <w:t>3</w:t>
      </w:r>
      <w:r w:rsidRPr="00EF40A7">
        <w:rPr>
          <w:rFonts w:asciiTheme="minorHAnsi" w:hAnsiTheme="minorHAnsi" w:cs="Calibri"/>
        </w:rPr>
        <w:t>%, compared to $1</w:t>
      </w:r>
      <w:r>
        <w:rPr>
          <w:rFonts w:asciiTheme="minorHAnsi" w:hAnsiTheme="minorHAnsi" w:cs="Calibri"/>
        </w:rPr>
        <w:t>3</w:t>
      </w:r>
      <w:r w:rsidR="00BB5506">
        <w:rPr>
          <w:rFonts w:asciiTheme="minorHAnsi" w:hAnsiTheme="minorHAnsi" w:cs="Calibri"/>
        </w:rPr>
        <w:t>2</w:t>
      </w:r>
      <w:r w:rsidRPr="00EF40A7">
        <w:rPr>
          <w:rFonts w:asciiTheme="minorHAnsi" w:hAnsiTheme="minorHAnsi" w:cs="Calibri"/>
        </w:rPr>
        <w:t>,000 in the prior year</w:t>
      </w:r>
      <w:r>
        <w:rPr>
          <w:rFonts w:asciiTheme="minorHAnsi" w:hAnsiTheme="minorHAnsi" w:cs="Calibri"/>
        </w:rPr>
        <w:t xml:space="preserve"> period</w:t>
      </w:r>
      <w:r w:rsidRPr="00EF40A7">
        <w:rPr>
          <w:rFonts w:asciiTheme="minorHAnsi" w:hAnsiTheme="minorHAnsi" w:cs="Calibri"/>
        </w:rPr>
        <w:t xml:space="preserve">.  For the </w:t>
      </w:r>
      <w:r w:rsidR="00BB5506">
        <w:rPr>
          <w:rFonts w:asciiTheme="minorHAnsi" w:hAnsiTheme="minorHAnsi" w:cs="Calibri"/>
        </w:rPr>
        <w:t>nine</w:t>
      </w:r>
      <w:r w:rsidRPr="00EF40A7">
        <w:rPr>
          <w:rFonts w:asciiTheme="minorHAnsi" w:hAnsiTheme="minorHAnsi" w:cs="Calibri"/>
        </w:rPr>
        <w:t xml:space="preserve"> months ended </w:t>
      </w:r>
      <w:r w:rsidR="00BB5506">
        <w:rPr>
          <w:rFonts w:asciiTheme="minorHAnsi" w:hAnsiTheme="minorHAnsi" w:cs="Calibri"/>
        </w:rPr>
        <w:t>September</w:t>
      </w:r>
      <w:r w:rsidRPr="00EF40A7">
        <w:rPr>
          <w:rFonts w:asciiTheme="minorHAnsi" w:hAnsiTheme="minorHAnsi" w:cs="Calibri"/>
        </w:rPr>
        <w:t xml:space="preserve"> 3</w:t>
      </w:r>
      <w:r>
        <w:rPr>
          <w:rFonts w:asciiTheme="minorHAnsi" w:hAnsiTheme="minorHAnsi" w:cs="Calibri"/>
        </w:rPr>
        <w:t>0</w:t>
      </w:r>
      <w:r w:rsidRPr="00EF40A7">
        <w:rPr>
          <w:rFonts w:asciiTheme="minorHAnsi" w:hAnsiTheme="minorHAnsi" w:cs="Calibri"/>
        </w:rPr>
        <w:t>, 20</w:t>
      </w:r>
      <w:r>
        <w:rPr>
          <w:rFonts w:asciiTheme="minorHAnsi" w:hAnsiTheme="minorHAnsi" w:cs="Calibri"/>
        </w:rPr>
        <w:t>20</w:t>
      </w:r>
      <w:r w:rsidRPr="00EF40A7">
        <w:rPr>
          <w:rFonts w:asciiTheme="minorHAnsi" w:hAnsiTheme="minorHAnsi" w:cs="Calibri"/>
        </w:rPr>
        <w:t>, non-interest income totaled $</w:t>
      </w:r>
      <w:r w:rsidR="00BB5506">
        <w:rPr>
          <w:rFonts w:asciiTheme="minorHAnsi" w:hAnsiTheme="minorHAnsi" w:cs="Calibri"/>
        </w:rPr>
        <w:t>997</w:t>
      </w:r>
      <w:r w:rsidRPr="00EF40A7">
        <w:rPr>
          <w:rFonts w:asciiTheme="minorHAnsi" w:hAnsiTheme="minorHAnsi" w:cs="Calibri"/>
        </w:rPr>
        <w:t xml:space="preserve">,000, an </w:t>
      </w:r>
      <w:r>
        <w:rPr>
          <w:rFonts w:asciiTheme="minorHAnsi" w:hAnsiTheme="minorHAnsi" w:cs="Calibri"/>
        </w:rPr>
        <w:t>in</w:t>
      </w:r>
      <w:r w:rsidRPr="00EF40A7">
        <w:rPr>
          <w:rFonts w:asciiTheme="minorHAnsi" w:hAnsiTheme="minorHAnsi" w:cs="Calibri"/>
        </w:rPr>
        <w:t>crease of $</w:t>
      </w:r>
      <w:r w:rsidR="00BB5506">
        <w:rPr>
          <w:rFonts w:asciiTheme="minorHAnsi" w:hAnsiTheme="minorHAnsi" w:cs="Calibri"/>
        </w:rPr>
        <w:t>585</w:t>
      </w:r>
      <w:r w:rsidRPr="00EF40A7">
        <w:rPr>
          <w:rFonts w:asciiTheme="minorHAnsi" w:hAnsiTheme="minorHAnsi" w:cs="Calibri"/>
        </w:rPr>
        <w:t xml:space="preserve">,000, or </w:t>
      </w:r>
      <w:r w:rsidR="00BB5506">
        <w:rPr>
          <w:rFonts w:asciiTheme="minorHAnsi" w:hAnsiTheme="minorHAnsi" w:cs="Calibri"/>
        </w:rPr>
        <w:t>142</w:t>
      </w:r>
      <w:r w:rsidRPr="00EF40A7">
        <w:rPr>
          <w:rFonts w:asciiTheme="minorHAnsi" w:hAnsiTheme="minorHAnsi" w:cs="Calibri"/>
        </w:rPr>
        <w:t>.</w:t>
      </w:r>
      <w:r w:rsidR="00BB5506">
        <w:rPr>
          <w:rFonts w:asciiTheme="minorHAnsi" w:hAnsiTheme="minorHAnsi" w:cs="Calibri"/>
        </w:rPr>
        <w:t>1</w:t>
      </w:r>
      <w:r w:rsidRPr="00EF40A7">
        <w:rPr>
          <w:rFonts w:asciiTheme="minorHAnsi" w:hAnsiTheme="minorHAnsi" w:cs="Calibri"/>
        </w:rPr>
        <w:t>%, from the prior year</w:t>
      </w:r>
      <w:r>
        <w:rPr>
          <w:rFonts w:asciiTheme="minorHAnsi" w:hAnsiTheme="minorHAnsi" w:cs="Calibri"/>
        </w:rPr>
        <w:t xml:space="preserve"> period</w:t>
      </w:r>
      <w:r w:rsidRPr="00EF40A7">
        <w:rPr>
          <w:rFonts w:asciiTheme="minorHAnsi" w:hAnsiTheme="minorHAnsi" w:cs="Calibri"/>
        </w:rPr>
        <w:t xml:space="preserve">. </w:t>
      </w:r>
      <w:r>
        <w:rPr>
          <w:rFonts w:asciiTheme="minorHAnsi" w:hAnsiTheme="minorHAnsi" w:cs="Calibri"/>
        </w:rPr>
        <w:t>Death benefit proceeds</w:t>
      </w:r>
      <w:r w:rsidRPr="00EF40A7">
        <w:rPr>
          <w:rFonts w:asciiTheme="minorHAnsi" w:hAnsiTheme="minorHAnsi" w:cs="Calibri"/>
        </w:rPr>
        <w:t xml:space="preserve"> </w:t>
      </w:r>
      <w:r>
        <w:rPr>
          <w:rFonts w:asciiTheme="minorHAnsi" w:hAnsiTheme="minorHAnsi" w:cs="Calibri"/>
        </w:rPr>
        <w:t>received on</w:t>
      </w:r>
      <w:r w:rsidR="00A51664">
        <w:rPr>
          <w:rFonts w:asciiTheme="minorHAnsi" w:hAnsiTheme="minorHAnsi" w:cs="Calibri"/>
        </w:rPr>
        <w:t xml:space="preserve"> our</w:t>
      </w:r>
      <w:r w:rsidRPr="00EF40A7">
        <w:rPr>
          <w:rFonts w:asciiTheme="minorHAnsi" w:hAnsiTheme="minorHAnsi" w:cs="Calibri"/>
        </w:rPr>
        <w:t xml:space="preserve"> </w:t>
      </w:r>
      <w:r w:rsidR="002776BC">
        <w:rPr>
          <w:rFonts w:asciiTheme="minorHAnsi" w:hAnsiTheme="minorHAnsi" w:cs="Calibri"/>
        </w:rPr>
        <w:t xml:space="preserve">investment in </w:t>
      </w:r>
      <w:r w:rsidRPr="00EF40A7">
        <w:rPr>
          <w:rFonts w:asciiTheme="minorHAnsi" w:hAnsiTheme="minorHAnsi" w:cs="Calibri"/>
        </w:rPr>
        <w:t xml:space="preserve">Bank Owned Life Insurance was the primary reason for the </w:t>
      </w:r>
      <w:r>
        <w:rPr>
          <w:rFonts w:asciiTheme="minorHAnsi" w:hAnsiTheme="minorHAnsi" w:cs="Calibri"/>
        </w:rPr>
        <w:t>increase</w:t>
      </w:r>
      <w:r w:rsidRPr="00EF40A7">
        <w:rPr>
          <w:rFonts w:asciiTheme="minorHAnsi" w:hAnsiTheme="minorHAnsi" w:cs="Calibri"/>
        </w:rPr>
        <w:t xml:space="preserve"> during </w:t>
      </w:r>
      <w:r w:rsidR="00BB5506">
        <w:rPr>
          <w:rFonts w:asciiTheme="minorHAnsi" w:hAnsiTheme="minorHAnsi" w:cs="Calibri"/>
        </w:rPr>
        <w:t>the nine</w:t>
      </w:r>
      <w:r w:rsidR="005A58C0">
        <w:rPr>
          <w:rFonts w:asciiTheme="minorHAnsi" w:hAnsiTheme="minorHAnsi" w:cs="Calibri"/>
        </w:rPr>
        <w:t>-</w:t>
      </w:r>
      <w:r w:rsidR="00BB5506">
        <w:rPr>
          <w:rFonts w:asciiTheme="minorHAnsi" w:hAnsiTheme="minorHAnsi" w:cs="Calibri"/>
        </w:rPr>
        <w:t>month</w:t>
      </w:r>
      <w:r w:rsidRPr="00EF40A7">
        <w:rPr>
          <w:rFonts w:asciiTheme="minorHAnsi" w:hAnsiTheme="minorHAnsi" w:cs="Calibri"/>
        </w:rPr>
        <w:t xml:space="preserve"> period.</w:t>
      </w:r>
    </w:p>
    <w:p w14:paraId="50905C43" w14:textId="135B73EA" w:rsidR="009D4D8C" w:rsidRDefault="009D4D8C" w:rsidP="009D4D8C">
      <w:pPr>
        <w:jc w:val="both"/>
        <w:rPr>
          <w:rFonts w:ascii="Calibri" w:hAnsi="Calibri" w:cs="Calibri"/>
        </w:rPr>
      </w:pPr>
      <w:r>
        <w:rPr>
          <w:rFonts w:ascii="Calibri" w:hAnsi="Calibri" w:cs="Calibri"/>
        </w:rPr>
        <w:t xml:space="preserve">For the three months ended </w:t>
      </w:r>
      <w:r w:rsidR="006E582C">
        <w:rPr>
          <w:rFonts w:ascii="Calibri" w:hAnsi="Calibri" w:cs="Calibri"/>
        </w:rPr>
        <w:t>September</w:t>
      </w:r>
      <w:r>
        <w:rPr>
          <w:rFonts w:ascii="Calibri" w:hAnsi="Calibri" w:cs="Calibri"/>
        </w:rPr>
        <w:t xml:space="preserve"> 30, 2020, non-interest expenses increased $4</w:t>
      </w:r>
      <w:r w:rsidR="006E582C">
        <w:rPr>
          <w:rFonts w:ascii="Calibri" w:hAnsi="Calibri" w:cs="Calibri"/>
        </w:rPr>
        <w:t>5</w:t>
      </w:r>
      <w:r>
        <w:rPr>
          <w:rFonts w:ascii="Calibri" w:hAnsi="Calibri" w:cs="Calibri"/>
        </w:rPr>
        <w:t>5,000 to $2.</w:t>
      </w:r>
      <w:r w:rsidR="006E582C">
        <w:rPr>
          <w:rFonts w:ascii="Calibri" w:hAnsi="Calibri" w:cs="Calibri"/>
        </w:rPr>
        <w:t>4</w:t>
      </w:r>
      <w:r>
        <w:rPr>
          <w:rFonts w:ascii="Calibri" w:hAnsi="Calibri" w:cs="Calibri"/>
        </w:rPr>
        <w:t xml:space="preserve"> million, over the comparable 2019 period. Professional fees increased $1</w:t>
      </w:r>
      <w:r w:rsidR="006E582C">
        <w:rPr>
          <w:rFonts w:ascii="Calibri" w:hAnsi="Calibri" w:cs="Calibri"/>
        </w:rPr>
        <w:t>54</w:t>
      </w:r>
      <w:r>
        <w:rPr>
          <w:rFonts w:ascii="Calibri" w:hAnsi="Calibri" w:cs="Calibri"/>
        </w:rPr>
        <w:t xml:space="preserve">,000, or </w:t>
      </w:r>
      <w:r w:rsidR="006E582C">
        <w:rPr>
          <w:rFonts w:ascii="Calibri" w:hAnsi="Calibri" w:cs="Calibri"/>
        </w:rPr>
        <w:t>180</w:t>
      </w:r>
      <w:r>
        <w:rPr>
          <w:rFonts w:ascii="Calibri" w:hAnsi="Calibri" w:cs="Calibri"/>
        </w:rPr>
        <w:t>.</w:t>
      </w:r>
      <w:r w:rsidR="006E582C">
        <w:rPr>
          <w:rFonts w:ascii="Calibri" w:hAnsi="Calibri" w:cs="Calibri"/>
        </w:rPr>
        <w:t>0</w:t>
      </w:r>
      <w:r>
        <w:rPr>
          <w:rFonts w:ascii="Calibri" w:hAnsi="Calibri" w:cs="Calibri"/>
        </w:rPr>
        <w:t xml:space="preserve">%, due to additional expense associated with becoming a public company.  </w:t>
      </w:r>
    </w:p>
    <w:p w14:paraId="13F8731F" w14:textId="77777777" w:rsidR="00DE37C8" w:rsidRDefault="00DE37C8" w:rsidP="009D4D8C">
      <w:pPr>
        <w:jc w:val="both"/>
        <w:rPr>
          <w:rFonts w:ascii="Calibri" w:hAnsi="Calibri" w:cs="Calibri"/>
        </w:rPr>
      </w:pPr>
    </w:p>
    <w:p w14:paraId="4D30441D" w14:textId="00107FA3" w:rsidR="009D4D8C" w:rsidRDefault="009D4D8C" w:rsidP="009D4D8C">
      <w:pPr>
        <w:jc w:val="both"/>
        <w:rPr>
          <w:rFonts w:ascii="Calibri" w:hAnsi="Calibri" w:cs="Calibri"/>
        </w:rPr>
      </w:pPr>
      <w:r>
        <w:rPr>
          <w:rFonts w:ascii="Calibri" w:hAnsi="Calibri" w:cs="Calibri"/>
        </w:rPr>
        <w:t xml:space="preserve">Salaries and employee benefits </w:t>
      </w:r>
      <w:r w:rsidR="006E582C">
        <w:rPr>
          <w:rFonts w:ascii="Calibri" w:hAnsi="Calibri" w:cs="Calibri"/>
        </w:rPr>
        <w:t>in</w:t>
      </w:r>
      <w:r>
        <w:rPr>
          <w:rFonts w:ascii="Calibri" w:hAnsi="Calibri" w:cs="Calibri"/>
        </w:rPr>
        <w:t>creased $1</w:t>
      </w:r>
      <w:r w:rsidR="006E582C">
        <w:rPr>
          <w:rFonts w:ascii="Calibri" w:hAnsi="Calibri" w:cs="Calibri"/>
        </w:rPr>
        <w:t>01</w:t>
      </w:r>
      <w:r>
        <w:rPr>
          <w:rFonts w:ascii="Calibri" w:hAnsi="Calibri" w:cs="Calibri"/>
        </w:rPr>
        <w:t xml:space="preserve">,000, or </w:t>
      </w:r>
      <w:r w:rsidR="006E582C">
        <w:rPr>
          <w:rFonts w:ascii="Calibri" w:hAnsi="Calibri" w:cs="Calibri"/>
        </w:rPr>
        <w:t>8</w:t>
      </w:r>
      <w:r>
        <w:rPr>
          <w:rFonts w:ascii="Calibri" w:hAnsi="Calibri" w:cs="Calibri"/>
        </w:rPr>
        <w:t>.</w:t>
      </w:r>
      <w:r w:rsidR="006E582C">
        <w:rPr>
          <w:rFonts w:ascii="Calibri" w:hAnsi="Calibri" w:cs="Calibri"/>
        </w:rPr>
        <w:t>2</w:t>
      </w:r>
      <w:r>
        <w:rPr>
          <w:rFonts w:ascii="Calibri" w:hAnsi="Calibri" w:cs="Calibri"/>
        </w:rPr>
        <w:t xml:space="preserve">%, attributable to </w:t>
      </w:r>
      <w:r w:rsidR="006E582C">
        <w:rPr>
          <w:rFonts w:ascii="Calibri" w:hAnsi="Calibri" w:cs="Calibri"/>
        </w:rPr>
        <w:t>increased benefits and employee stock ownership plan expenses</w:t>
      </w:r>
      <w:r>
        <w:rPr>
          <w:rFonts w:ascii="Calibri" w:hAnsi="Calibri" w:cs="Calibri"/>
        </w:rPr>
        <w:t xml:space="preserve">. </w:t>
      </w:r>
      <w:r w:rsidR="008563A3">
        <w:rPr>
          <w:rFonts w:ascii="Calibri" w:hAnsi="Calibri" w:cs="Calibri"/>
        </w:rPr>
        <w:t>Data processing expense increased $98,000 or 117.1% due to invoice credits during 2019</w:t>
      </w:r>
      <w:r w:rsidR="005A58C0">
        <w:rPr>
          <w:rFonts w:ascii="Calibri" w:hAnsi="Calibri" w:cs="Calibri"/>
        </w:rPr>
        <w:t xml:space="preserve"> that</w:t>
      </w:r>
      <w:r w:rsidR="008563A3">
        <w:rPr>
          <w:rFonts w:ascii="Calibri" w:hAnsi="Calibri" w:cs="Calibri"/>
        </w:rPr>
        <w:t xml:space="preserve"> did not reoccur in 2020.  </w:t>
      </w:r>
      <w:r>
        <w:rPr>
          <w:rFonts w:ascii="Calibri" w:hAnsi="Calibri" w:cs="Calibri"/>
        </w:rPr>
        <w:t xml:space="preserve">The </w:t>
      </w:r>
      <w:r w:rsidR="006E582C">
        <w:rPr>
          <w:rFonts w:ascii="Calibri" w:hAnsi="Calibri" w:cs="Calibri"/>
        </w:rPr>
        <w:t>increase</w:t>
      </w:r>
      <w:r>
        <w:rPr>
          <w:rFonts w:ascii="Calibri" w:hAnsi="Calibri" w:cs="Calibri"/>
        </w:rPr>
        <w:t xml:space="preserve"> of other general operating expenses was mainly due to </w:t>
      </w:r>
      <w:r w:rsidR="008C2C37">
        <w:rPr>
          <w:rFonts w:ascii="Calibri" w:hAnsi="Calibri" w:cs="Calibri"/>
        </w:rPr>
        <w:t xml:space="preserve">increased FDIC insurance expense due to credits utilized last year and </w:t>
      </w:r>
      <w:r w:rsidR="006E582C">
        <w:rPr>
          <w:rFonts w:ascii="Calibri" w:hAnsi="Calibri" w:cs="Calibri"/>
        </w:rPr>
        <w:t>increase in</w:t>
      </w:r>
      <w:r w:rsidR="008563A3">
        <w:rPr>
          <w:rFonts w:ascii="Calibri" w:hAnsi="Calibri" w:cs="Calibri"/>
        </w:rPr>
        <w:t xml:space="preserve"> other expense</w:t>
      </w:r>
      <w:r w:rsidR="008C2C37">
        <w:rPr>
          <w:rFonts w:ascii="Calibri" w:hAnsi="Calibri" w:cs="Calibri"/>
        </w:rPr>
        <w:t>.</w:t>
      </w:r>
      <w:r w:rsidR="008563A3">
        <w:rPr>
          <w:rFonts w:ascii="Calibri" w:hAnsi="Calibri" w:cs="Calibri"/>
        </w:rPr>
        <w:t xml:space="preserve"> </w:t>
      </w:r>
      <w:r w:rsidR="008563A3" w:rsidRPr="008563A3">
        <w:rPr>
          <w:rFonts w:ascii="Calibri" w:hAnsi="Calibri" w:cs="Calibri"/>
        </w:rPr>
        <w:t xml:space="preserve"> </w:t>
      </w:r>
      <w:r w:rsidR="008563A3">
        <w:rPr>
          <w:rFonts w:ascii="Calibri" w:hAnsi="Calibri" w:cs="Calibri"/>
        </w:rPr>
        <w:t>Advertising expense decreased $35,000</w:t>
      </w:r>
      <w:r w:rsidR="005A58C0">
        <w:rPr>
          <w:rFonts w:ascii="Calibri" w:hAnsi="Calibri" w:cs="Calibri"/>
        </w:rPr>
        <w:t>,</w:t>
      </w:r>
      <w:r w:rsidR="008563A3">
        <w:rPr>
          <w:rFonts w:ascii="Calibri" w:hAnsi="Calibri" w:cs="Calibri"/>
        </w:rPr>
        <w:t xml:space="preserve"> or 53.9% due to the lack of advertising during the height of the COVID crisis.</w:t>
      </w:r>
    </w:p>
    <w:p w14:paraId="4FB1FB34" w14:textId="77777777" w:rsidR="009D4D8C" w:rsidRDefault="009D4D8C" w:rsidP="009D4D8C">
      <w:pPr>
        <w:jc w:val="both"/>
        <w:rPr>
          <w:rFonts w:asciiTheme="minorHAnsi" w:hAnsiTheme="minorHAnsi" w:cs="Calibri"/>
        </w:rPr>
      </w:pPr>
    </w:p>
    <w:p w14:paraId="2FD8AECD" w14:textId="13FD3A67" w:rsidR="003F6042" w:rsidRPr="00F76E29" w:rsidRDefault="003F6042" w:rsidP="003F6042">
      <w:pPr>
        <w:jc w:val="both"/>
        <w:rPr>
          <w:rFonts w:asciiTheme="minorHAnsi" w:hAnsiTheme="minorHAnsi" w:cs="Calibri"/>
        </w:rPr>
      </w:pPr>
      <w:r w:rsidRPr="00F76E29">
        <w:rPr>
          <w:rFonts w:asciiTheme="minorHAnsi" w:hAnsiTheme="minorHAnsi" w:cs="Calibri"/>
        </w:rPr>
        <w:t xml:space="preserve">For the </w:t>
      </w:r>
      <w:r>
        <w:rPr>
          <w:rFonts w:asciiTheme="minorHAnsi" w:hAnsiTheme="minorHAnsi" w:cs="Calibri"/>
        </w:rPr>
        <w:t>nine months ended September 30,</w:t>
      </w:r>
      <w:r w:rsidRPr="00F76E29">
        <w:rPr>
          <w:rFonts w:asciiTheme="minorHAnsi" w:hAnsiTheme="minorHAnsi" w:cs="Calibri"/>
        </w:rPr>
        <w:t xml:space="preserve"> 2020, non-interest expenses increased $</w:t>
      </w:r>
      <w:r>
        <w:rPr>
          <w:rFonts w:asciiTheme="minorHAnsi" w:hAnsiTheme="minorHAnsi" w:cs="Calibri"/>
        </w:rPr>
        <w:t>3</w:t>
      </w:r>
      <w:r w:rsidRPr="00F76E29">
        <w:rPr>
          <w:rFonts w:asciiTheme="minorHAnsi" w:hAnsiTheme="minorHAnsi" w:cs="Calibri"/>
        </w:rPr>
        <w:t>.</w:t>
      </w:r>
      <w:r>
        <w:rPr>
          <w:rFonts w:asciiTheme="minorHAnsi" w:hAnsiTheme="minorHAnsi" w:cs="Calibri"/>
        </w:rPr>
        <w:t>1</w:t>
      </w:r>
      <w:r w:rsidRPr="00F76E29">
        <w:rPr>
          <w:rFonts w:asciiTheme="minorHAnsi" w:hAnsiTheme="minorHAnsi" w:cs="Calibri"/>
        </w:rPr>
        <w:t xml:space="preserve"> million</w:t>
      </w:r>
      <w:r>
        <w:rPr>
          <w:rFonts w:asciiTheme="minorHAnsi" w:hAnsiTheme="minorHAnsi" w:cs="Calibri"/>
        </w:rPr>
        <w:t>, or 46.7%,</w:t>
      </w:r>
      <w:r w:rsidRPr="00F76E29">
        <w:rPr>
          <w:rFonts w:asciiTheme="minorHAnsi" w:hAnsiTheme="minorHAnsi" w:cs="Calibri"/>
        </w:rPr>
        <w:t xml:space="preserve"> to $</w:t>
      </w:r>
      <w:r>
        <w:rPr>
          <w:rFonts w:asciiTheme="minorHAnsi" w:hAnsiTheme="minorHAnsi" w:cs="Calibri"/>
        </w:rPr>
        <w:t>9</w:t>
      </w:r>
      <w:r w:rsidRPr="00F76E29">
        <w:rPr>
          <w:rFonts w:asciiTheme="minorHAnsi" w:hAnsiTheme="minorHAnsi" w:cs="Calibri"/>
        </w:rPr>
        <w:t>.</w:t>
      </w:r>
      <w:r>
        <w:rPr>
          <w:rFonts w:asciiTheme="minorHAnsi" w:hAnsiTheme="minorHAnsi" w:cs="Calibri"/>
        </w:rPr>
        <w:t>6</w:t>
      </w:r>
      <w:r w:rsidRPr="00F76E29">
        <w:rPr>
          <w:rFonts w:asciiTheme="minorHAnsi" w:hAnsiTheme="minorHAnsi" w:cs="Calibri"/>
        </w:rPr>
        <w:t xml:space="preserve"> million, over the comparable 2019 period.   Expenses for the </w:t>
      </w:r>
      <w:r>
        <w:rPr>
          <w:rFonts w:asciiTheme="minorHAnsi" w:hAnsiTheme="minorHAnsi" w:cs="Calibri"/>
        </w:rPr>
        <w:t>nine</w:t>
      </w:r>
      <w:r w:rsidRPr="00F76E29">
        <w:rPr>
          <w:rFonts w:asciiTheme="minorHAnsi" w:hAnsiTheme="minorHAnsi" w:cs="Calibri"/>
        </w:rPr>
        <w:t xml:space="preserve"> months ended </w:t>
      </w:r>
      <w:r>
        <w:rPr>
          <w:rFonts w:asciiTheme="minorHAnsi" w:hAnsiTheme="minorHAnsi" w:cs="Calibri"/>
        </w:rPr>
        <w:t>September</w:t>
      </w:r>
      <w:r w:rsidRPr="00F76E29">
        <w:rPr>
          <w:rFonts w:asciiTheme="minorHAnsi" w:hAnsiTheme="minorHAnsi" w:cs="Calibri"/>
        </w:rPr>
        <w:t xml:space="preserve"> 3</w:t>
      </w:r>
      <w:r>
        <w:rPr>
          <w:rFonts w:asciiTheme="minorHAnsi" w:hAnsiTheme="minorHAnsi" w:cs="Calibri"/>
        </w:rPr>
        <w:t>0</w:t>
      </w:r>
      <w:r w:rsidRPr="00F76E29">
        <w:rPr>
          <w:rFonts w:asciiTheme="minorHAnsi" w:hAnsiTheme="minorHAnsi" w:cs="Calibri"/>
        </w:rPr>
        <w:t xml:space="preserve">, 2020 included a $2.9 million contribution to the Bogota Charitable Foundation that was formed during the reorganization of the Bank into a two-tier mutual holding company form of organization. </w:t>
      </w:r>
      <w:r>
        <w:rPr>
          <w:rFonts w:asciiTheme="minorHAnsi" w:hAnsiTheme="minorHAnsi" w:cs="Calibri"/>
        </w:rPr>
        <w:t xml:space="preserve"> </w:t>
      </w:r>
      <w:r w:rsidRPr="00F76E29">
        <w:rPr>
          <w:rFonts w:asciiTheme="minorHAnsi" w:hAnsiTheme="minorHAnsi" w:cs="Calibri"/>
        </w:rPr>
        <w:t>Data processing cost</w:t>
      </w:r>
      <w:r>
        <w:rPr>
          <w:rFonts w:asciiTheme="minorHAnsi" w:hAnsiTheme="minorHAnsi" w:cs="Calibri"/>
        </w:rPr>
        <w:t>s</w:t>
      </w:r>
      <w:r w:rsidRPr="00F76E29">
        <w:rPr>
          <w:rFonts w:asciiTheme="minorHAnsi" w:hAnsiTheme="minorHAnsi" w:cs="Calibri"/>
        </w:rPr>
        <w:t xml:space="preserve"> decreased $</w:t>
      </w:r>
      <w:r>
        <w:rPr>
          <w:rFonts w:asciiTheme="minorHAnsi" w:hAnsiTheme="minorHAnsi" w:cs="Calibri"/>
        </w:rPr>
        <w:t>327</w:t>
      </w:r>
      <w:r w:rsidRPr="00F76E29">
        <w:rPr>
          <w:rFonts w:asciiTheme="minorHAnsi" w:hAnsiTheme="minorHAnsi" w:cs="Calibri"/>
        </w:rPr>
        <w:t>,000</w:t>
      </w:r>
      <w:r>
        <w:rPr>
          <w:rFonts w:asciiTheme="minorHAnsi" w:hAnsiTheme="minorHAnsi" w:cs="Calibri"/>
        </w:rPr>
        <w:t>,</w:t>
      </w:r>
      <w:r w:rsidRPr="00F76E29">
        <w:rPr>
          <w:rFonts w:asciiTheme="minorHAnsi" w:hAnsiTheme="minorHAnsi" w:cs="Calibri"/>
        </w:rPr>
        <w:t xml:space="preserve"> or </w:t>
      </w:r>
      <w:r>
        <w:rPr>
          <w:rFonts w:asciiTheme="minorHAnsi" w:hAnsiTheme="minorHAnsi" w:cs="Calibri"/>
        </w:rPr>
        <w:t>39</w:t>
      </w:r>
      <w:r w:rsidRPr="00F76E29">
        <w:rPr>
          <w:rFonts w:asciiTheme="minorHAnsi" w:hAnsiTheme="minorHAnsi" w:cs="Calibri"/>
        </w:rPr>
        <w:t>.</w:t>
      </w:r>
      <w:r>
        <w:rPr>
          <w:rFonts w:asciiTheme="minorHAnsi" w:hAnsiTheme="minorHAnsi" w:cs="Calibri"/>
        </w:rPr>
        <w:t>9</w:t>
      </w:r>
      <w:r w:rsidRPr="00F76E29">
        <w:rPr>
          <w:rFonts w:asciiTheme="minorHAnsi" w:hAnsiTheme="minorHAnsi" w:cs="Calibri"/>
        </w:rPr>
        <w:t>%</w:t>
      </w:r>
      <w:r>
        <w:rPr>
          <w:rFonts w:asciiTheme="minorHAnsi" w:hAnsiTheme="minorHAnsi" w:cs="Calibri"/>
        </w:rPr>
        <w:t>,</w:t>
      </w:r>
      <w:r w:rsidRPr="00F76E29">
        <w:rPr>
          <w:rFonts w:asciiTheme="minorHAnsi" w:hAnsiTheme="minorHAnsi" w:cs="Calibri"/>
        </w:rPr>
        <w:t xml:space="preserve"> due to </w:t>
      </w:r>
      <w:r>
        <w:rPr>
          <w:rFonts w:asciiTheme="minorHAnsi" w:hAnsiTheme="minorHAnsi" w:cs="Calibri"/>
        </w:rPr>
        <w:t xml:space="preserve">$360,000 in </w:t>
      </w:r>
      <w:r w:rsidRPr="00F76E29">
        <w:rPr>
          <w:rFonts w:asciiTheme="minorHAnsi" w:hAnsiTheme="minorHAnsi" w:cs="Calibri"/>
        </w:rPr>
        <w:t xml:space="preserve">de-conversion expenses in 2019 </w:t>
      </w:r>
      <w:r>
        <w:rPr>
          <w:rFonts w:asciiTheme="minorHAnsi" w:hAnsiTheme="minorHAnsi" w:cs="Calibri"/>
        </w:rPr>
        <w:t>in connection with the Bank’s</w:t>
      </w:r>
      <w:r w:rsidRPr="00F76E29">
        <w:rPr>
          <w:rFonts w:asciiTheme="minorHAnsi" w:hAnsiTheme="minorHAnsi" w:cs="Calibri"/>
        </w:rPr>
        <w:t xml:space="preserve"> data processing conversion. </w:t>
      </w:r>
      <w:r>
        <w:rPr>
          <w:rFonts w:asciiTheme="minorHAnsi" w:hAnsiTheme="minorHAnsi" w:cs="Calibri"/>
        </w:rPr>
        <w:t xml:space="preserve"> </w:t>
      </w:r>
      <w:r>
        <w:rPr>
          <w:rFonts w:ascii="Calibri" w:hAnsi="Calibri" w:cs="Calibri"/>
        </w:rPr>
        <w:t>Advertising expense decreased $53,000</w:t>
      </w:r>
      <w:r w:rsidR="005A58C0">
        <w:rPr>
          <w:rFonts w:ascii="Calibri" w:hAnsi="Calibri" w:cs="Calibri"/>
        </w:rPr>
        <w:t>,</w:t>
      </w:r>
      <w:r>
        <w:rPr>
          <w:rFonts w:ascii="Calibri" w:hAnsi="Calibri" w:cs="Calibri"/>
        </w:rPr>
        <w:t xml:space="preserve"> or 28.</w:t>
      </w:r>
      <w:r w:rsidR="00C21036">
        <w:rPr>
          <w:rFonts w:ascii="Calibri" w:hAnsi="Calibri" w:cs="Calibri"/>
        </w:rPr>
        <w:t>7</w:t>
      </w:r>
      <w:r>
        <w:rPr>
          <w:rFonts w:ascii="Calibri" w:hAnsi="Calibri" w:cs="Calibri"/>
        </w:rPr>
        <w:t xml:space="preserve">% due to the lack of advertising during the height of the COVID crisis. </w:t>
      </w:r>
      <w:r>
        <w:rPr>
          <w:rFonts w:asciiTheme="minorHAnsi" w:hAnsiTheme="minorHAnsi" w:cs="Calibri"/>
        </w:rPr>
        <w:t xml:space="preserve">Excluding </w:t>
      </w:r>
      <w:r w:rsidRPr="00F76E29" w:rsidDel="00B24AF6">
        <w:rPr>
          <w:rFonts w:asciiTheme="minorHAnsi" w:hAnsiTheme="minorHAnsi" w:cs="Calibri"/>
        </w:rPr>
        <w:t>the contribution to the charitable foundation in 2020 and the de-conversion expense in 2019</w:t>
      </w:r>
      <w:r w:rsidDel="00B24AF6">
        <w:rPr>
          <w:rFonts w:asciiTheme="minorHAnsi" w:hAnsiTheme="minorHAnsi" w:cs="Calibri"/>
        </w:rPr>
        <w:t>,</w:t>
      </w:r>
      <w:r w:rsidRPr="00F76E29" w:rsidDel="00B24AF6">
        <w:rPr>
          <w:rFonts w:asciiTheme="minorHAnsi" w:hAnsiTheme="minorHAnsi" w:cs="Calibri"/>
        </w:rPr>
        <w:t xml:space="preserve"> non-interest expenses increased $</w:t>
      </w:r>
      <w:r w:rsidDel="00B24AF6">
        <w:rPr>
          <w:rFonts w:asciiTheme="minorHAnsi" w:hAnsiTheme="minorHAnsi" w:cs="Calibri"/>
        </w:rPr>
        <w:t>5</w:t>
      </w:r>
      <w:r w:rsidR="00C21036">
        <w:rPr>
          <w:rFonts w:asciiTheme="minorHAnsi" w:hAnsiTheme="minorHAnsi" w:cs="Calibri"/>
        </w:rPr>
        <w:t>44</w:t>
      </w:r>
      <w:r w:rsidRPr="00F76E29" w:rsidDel="00B24AF6">
        <w:rPr>
          <w:rFonts w:asciiTheme="minorHAnsi" w:hAnsiTheme="minorHAnsi" w:cs="Calibri"/>
        </w:rPr>
        <w:t>,000 to $</w:t>
      </w:r>
      <w:r w:rsidDel="00B24AF6">
        <w:rPr>
          <w:rFonts w:asciiTheme="minorHAnsi" w:hAnsiTheme="minorHAnsi" w:cs="Calibri"/>
        </w:rPr>
        <w:t>6</w:t>
      </w:r>
      <w:r w:rsidRPr="00F76E29" w:rsidDel="00B24AF6">
        <w:rPr>
          <w:rFonts w:asciiTheme="minorHAnsi" w:hAnsiTheme="minorHAnsi" w:cs="Calibri"/>
        </w:rPr>
        <w:t>.</w:t>
      </w:r>
      <w:r w:rsidDel="00B24AF6">
        <w:rPr>
          <w:rFonts w:asciiTheme="minorHAnsi" w:hAnsiTheme="minorHAnsi" w:cs="Calibri"/>
        </w:rPr>
        <w:t>7</w:t>
      </w:r>
      <w:r w:rsidRPr="00F76E29" w:rsidDel="00B24AF6">
        <w:rPr>
          <w:rFonts w:asciiTheme="minorHAnsi" w:hAnsiTheme="minorHAnsi" w:cs="Calibri"/>
        </w:rPr>
        <w:t xml:space="preserve"> million</w:t>
      </w:r>
      <w:r w:rsidDel="00B24AF6">
        <w:rPr>
          <w:rFonts w:asciiTheme="minorHAnsi" w:hAnsiTheme="minorHAnsi" w:cs="Calibri"/>
        </w:rPr>
        <w:t xml:space="preserve"> compared to the same period last year</w:t>
      </w:r>
      <w:r w:rsidRPr="00F76E29" w:rsidDel="00B24AF6">
        <w:rPr>
          <w:rFonts w:asciiTheme="minorHAnsi" w:hAnsiTheme="minorHAnsi" w:cs="Calibri"/>
        </w:rPr>
        <w:t>.</w:t>
      </w:r>
      <w:r>
        <w:rPr>
          <w:rFonts w:asciiTheme="minorHAnsi" w:hAnsiTheme="minorHAnsi" w:cs="Calibri"/>
        </w:rPr>
        <w:t xml:space="preserve"> </w:t>
      </w:r>
      <w:r w:rsidRPr="00F76E29">
        <w:rPr>
          <w:rFonts w:asciiTheme="minorHAnsi" w:hAnsiTheme="minorHAnsi" w:cs="Calibri"/>
        </w:rPr>
        <w:t xml:space="preserve">The increase of other general operating expenses was mainly due to increases in professional fees associated with the expense of becoming a public company. </w:t>
      </w:r>
    </w:p>
    <w:p w14:paraId="04C9A020" w14:textId="77777777" w:rsidR="001900B3" w:rsidRDefault="001900B3" w:rsidP="00E57EC0">
      <w:pPr>
        <w:keepNext/>
        <w:jc w:val="both"/>
        <w:rPr>
          <w:rFonts w:asciiTheme="minorHAnsi" w:hAnsiTheme="minorHAnsi" w:cs="Calibri"/>
          <w:b/>
        </w:rPr>
      </w:pPr>
    </w:p>
    <w:p w14:paraId="1C43C5BA" w14:textId="71C745B2" w:rsidR="007F23BC" w:rsidRPr="00F76E29" w:rsidRDefault="007F23BC" w:rsidP="00E57EC0">
      <w:pPr>
        <w:keepNext/>
        <w:jc w:val="both"/>
        <w:rPr>
          <w:rFonts w:asciiTheme="minorHAnsi" w:hAnsiTheme="minorHAnsi" w:cs="Calibri"/>
          <w:b/>
        </w:rPr>
      </w:pPr>
      <w:r w:rsidRPr="00F76E29">
        <w:rPr>
          <w:rFonts w:asciiTheme="minorHAnsi" w:hAnsiTheme="minorHAnsi" w:cs="Calibri"/>
          <w:b/>
        </w:rPr>
        <w:t xml:space="preserve">Balance Sheet Analysis  </w:t>
      </w:r>
    </w:p>
    <w:p w14:paraId="4BE0285D" w14:textId="080B5379" w:rsidR="009D4D8C" w:rsidRPr="00F76E29" w:rsidRDefault="009D4D8C" w:rsidP="009D4D8C">
      <w:pPr>
        <w:spacing w:before="200" w:after="200"/>
        <w:jc w:val="both"/>
        <w:rPr>
          <w:rFonts w:asciiTheme="minorHAnsi" w:hAnsiTheme="minorHAnsi" w:cs="Calibri"/>
        </w:rPr>
      </w:pPr>
      <w:r w:rsidRPr="00F76E29">
        <w:rPr>
          <w:rFonts w:asciiTheme="minorHAnsi" w:hAnsiTheme="minorHAnsi" w:cs="Calibri"/>
        </w:rPr>
        <w:t>Total assets were $7</w:t>
      </w:r>
      <w:r w:rsidR="009B4657">
        <w:rPr>
          <w:rFonts w:asciiTheme="minorHAnsi" w:hAnsiTheme="minorHAnsi" w:cs="Calibri"/>
        </w:rPr>
        <w:t>53</w:t>
      </w:r>
      <w:r w:rsidRPr="00F76E29">
        <w:rPr>
          <w:rFonts w:asciiTheme="minorHAnsi" w:hAnsiTheme="minorHAnsi" w:cs="Calibri"/>
        </w:rPr>
        <w:t>.</w:t>
      </w:r>
      <w:r w:rsidR="009B4657">
        <w:rPr>
          <w:rFonts w:asciiTheme="minorHAnsi" w:hAnsiTheme="minorHAnsi" w:cs="Calibri"/>
        </w:rPr>
        <w:t>5</w:t>
      </w:r>
      <w:r w:rsidRPr="00F76E29">
        <w:rPr>
          <w:rFonts w:asciiTheme="minorHAnsi" w:hAnsiTheme="minorHAnsi" w:cs="Calibri"/>
        </w:rPr>
        <w:t xml:space="preserve"> million at </w:t>
      </w:r>
      <w:r w:rsidR="009B4657">
        <w:rPr>
          <w:rFonts w:asciiTheme="minorHAnsi" w:hAnsiTheme="minorHAnsi" w:cs="Calibri"/>
        </w:rPr>
        <w:t>September</w:t>
      </w:r>
      <w:r w:rsidRPr="00F76E29">
        <w:rPr>
          <w:rFonts w:asciiTheme="minorHAnsi" w:hAnsiTheme="minorHAnsi" w:cs="Calibri"/>
        </w:rPr>
        <w:t xml:space="preserve"> 3</w:t>
      </w:r>
      <w:r>
        <w:rPr>
          <w:rFonts w:asciiTheme="minorHAnsi" w:hAnsiTheme="minorHAnsi" w:cs="Calibri"/>
        </w:rPr>
        <w:t>0</w:t>
      </w:r>
      <w:r w:rsidRPr="00F76E29">
        <w:rPr>
          <w:rFonts w:asciiTheme="minorHAnsi" w:hAnsiTheme="minorHAnsi" w:cs="Calibri"/>
        </w:rPr>
        <w:t>, 2020, representing a decrease of $</w:t>
      </w:r>
      <w:r w:rsidR="009B4657">
        <w:rPr>
          <w:rFonts w:asciiTheme="minorHAnsi" w:hAnsiTheme="minorHAnsi" w:cs="Calibri"/>
        </w:rPr>
        <w:t>13.1</w:t>
      </w:r>
      <w:r w:rsidRPr="00F76E29">
        <w:rPr>
          <w:rFonts w:asciiTheme="minorHAnsi" w:hAnsiTheme="minorHAnsi" w:cs="Calibri"/>
        </w:rPr>
        <w:t xml:space="preserve"> million, or </w:t>
      </w:r>
      <w:r w:rsidR="000A3D64">
        <w:rPr>
          <w:rFonts w:asciiTheme="minorHAnsi" w:hAnsiTheme="minorHAnsi" w:cs="Calibri"/>
        </w:rPr>
        <w:t>1</w:t>
      </w:r>
      <w:r w:rsidRPr="00F76E29">
        <w:rPr>
          <w:rFonts w:asciiTheme="minorHAnsi" w:hAnsiTheme="minorHAnsi" w:cs="Calibri"/>
        </w:rPr>
        <w:t>.</w:t>
      </w:r>
      <w:r w:rsidR="000A3D64">
        <w:rPr>
          <w:rFonts w:asciiTheme="minorHAnsi" w:hAnsiTheme="minorHAnsi" w:cs="Calibri"/>
        </w:rPr>
        <w:t>7</w:t>
      </w:r>
      <w:r w:rsidRPr="00F76E29">
        <w:rPr>
          <w:rFonts w:asciiTheme="minorHAnsi" w:hAnsiTheme="minorHAnsi" w:cs="Calibri"/>
        </w:rPr>
        <w:t xml:space="preserve">%, from December 31, 2019. </w:t>
      </w:r>
      <w:r w:rsidR="003F6042">
        <w:rPr>
          <w:rFonts w:asciiTheme="minorHAnsi" w:hAnsiTheme="minorHAnsi" w:cs="Calibri"/>
        </w:rPr>
        <w:t xml:space="preserve"> </w:t>
      </w:r>
      <w:r w:rsidR="003F6042" w:rsidRPr="00F76E29">
        <w:rPr>
          <w:rFonts w:asciiTheme="minorHAnsi" w:hAnsiTheme="minorHAnsi" w:cs="Calibri"/>
        </w:rPr>
        <w:t>Cash and due from banks decreased $</w:t>
      </w:r>
      <w:r w:rsidR="003F6042">
        <w:rPr>
          <w:rFonts w:asciiTheme="minorHAnsi" w:hAnsiTheme="minorHAnsi" w:cs="Calibri"/>
        </w:rPr>
        <w:t>56</w:t>
      </w:r>
      <w:r w:rsidR="003F6042" w:rsidRPr="00F76E29">
        <w:rPr>
          <w:rFonts w:asciiTheme="minorHAnsi" w:hAnsiTheme="minorHAnsi" w:cs="Calibri"/>
        </w:rPr>
        <w:t>.</w:t>
      </w:r>
      <w:r w:rsidR="003F6042">
        <w:rPr>
          <w:rFonts w:asciiTheme="minorHAnsi" w:hAnsiTheme="minorHAnsi" w:cs="Calibri"/>
        </w:rPr>
        <w:t>5</w:t>
      </w:r>
      <w:r w:rsidR="003F6042" w:rsidRPr="00F76E29">
        <w:rPr>
          <w:rFonts w:asciiTheme="minorHAnsi" w:hAnsiTheme="minorHAnsi" w:cs="Calibri"/>
        </w:rPr>
        <w:t xml:space="preserve"> million during the period primarily because of $41.5 million in offering subscriptions that were refunded due to the oversubscription of the stock offering. </w:t>
      </w:r>
      <w:r w:rsidR="003F6042">
        <w:rPr>
          <w:rFonts w:asciiTheme="minorHAnsi" w:hAnsiTheme="minorHAnsi" w:cs="Calibri"/>
        </w:rPr>
        <w:t xml:space="preserve"> </w:t>
      </w:r>
      <w:r w:rsidRPr="00F76E29">
        <w:rPr>
          <w:rFonts w:asciiTheme="minorHAnsi" w:hAnsiTheme="minorHAnsi" w:cs="Calibri"/>
        </w:rPr>
        <w:t>Net loans increased $</w:t>
      </w:r>
      <w:r w:rsidR="009B4657">
        <w:rPr>
          <w:rFonts w:asciiTheme="minorHAnsi" w:hAnsiTheme="minorHAnsi" w:cs="Calibri"/>
        </w:rPr>
        <w:t>46</w:t>
      </w:r>
      <w:r w:rsidRPr="00F76E29">
        <w:rPr>
          <w:rFonts w:asciiTheme="minorHAnsi" w:hAnsiTheme="minorHAnsi" w:cs="Calibri"/>
        </w:rPr>
        <w:t>.</w:t>
      </w:r>
      <w:r w:rsidR="009B4657">
        <w:rPr>
          <w:rFonts w:asciiTheme="minorHAnsi" w:hAnsiTheme="minorHAnsi" w:cs="Calibri"/>
        </w:rPr>
        <w:t>7</w:t>
      </w:r>
      <w:r w:rsidRPr="00F76E29">
        <w:rPr>
          <w:rFonts w:asciiTheme="minorHAnsi" w:hAnsiTheme="minorHAnsi" w:cs="Calibri"/>
        </w:rPr>
        <w:t xml:space="preserve"> million or </w:t>
      </w:r>
      <w:r w:rsidR="009B4657">
        <w:rPr>
          <w:rFonts w:asciiTheme="minorHAnsi" w:hAnsiTheme="minorHAnsi" w:cs="Calibri"/>
        </w:rPr>
        <w:t>8</w:t>
      </w:r>
      <w:r w:rsidRPr="00F76E29">
        <w:rPr>
          <w:rFonts w:asciiTheme="minorHAnsi" w:hAnsiTheme="minorHAnsi" w:cs="Calibri"/>
        </w:rPr>
        <w:t>.</w:t>
      </w:r>
      <w:r w:rsidR="009B4657">
        <w:rPr>
          <w:rFonts w:asciiTheme="minorHAnsi" w:hAnsiTheme="minorHAnsi" w:cs="Calibri"/>
        </w:rPr>
        <w:t>7</w:t>
      </w:r>
      <w:r w:rsidRPr="00F76E29">
        <w:rPr>
          <w:rFonts w:asciiTheme="minorHAnsi" w:hAnsiTheme="minorHAnsi" w:cs="Calibri"/>
        </w:rPr>
        <w:t>%, due to new production of $</w:t>
      </w:r>
      <w:r>
        <w:rPr>
          <w:rFonts w:asciiTheme="minorHAnsi" w:hAnsiTheme="minorHAnsi" w:cs="Calibri"/>
        </w:rPr>
        <w:t>1</w:t>
      </w:r>
      <w:r w:rsidR="009B4657">
        <w:rPr>
          <w:rFonts w:asciiTheme="minorHAnsi" w:hAnsiTheme="minorHAnsi" w:cs="Calibri"/>
        </w:rPr>
        <w:t>71</w:t>
      </w:r>
      <w:r>
        <w:rPr>
          <w:rFonts w:asciiTheme="minorHAnsi" w:hAnsiTheme="minorHAnsi" w:cs="Calibri"/>
        </w:rPr>
        <w:t>.</w:t>
      </w:r>
      <w:r w:rsidR="009B4657">
        <w:rPr>
          <w:rFonts w:asciiTheme="minorHAnsi" w:hAnsiTheme="minorHAnsi" w:cs="Calibri"/>
        </w:rPr>
        <w:t>0</w:t>
      </w:r>
      <w:r w:rsidRPr="00F76E29">
        <w:rPr>
          <w:rFonts w:asciiTheme="minorHAnsi" w:hAnsiTheme="minorHAnsi" w:cs="Calibri"/>
        </w:rPr>
        <w:t xml:space="preserve"> million</w:t>
      </w:r>
      <w:r>
        <w:rPr>
          <w:rFonts w:asciiTheme="minorHAnsi" w:hAnsiTheme="minorHAnsi" w:cs="Calibri"/>
        </w:rPr>
        <w:t>, consisting of a relatively equal mix of</w:t>
      </w:r>
      <w:r w:rsidRPr="00F76E29">
        <w:rPr>
          <w:rFonts w:asciiTheme="minorHAnsi" w:hAnsiTheme="minorHAnsi" w:cs="Calibri"/>
        </w:rPr>
        <w:t xml:space="preserve"> real estate loans</w:t>
      </w:r>
      <w:r>
        <w:rPr>
          <w:rFonts w:asciiTheme="minorHAnsi" w:hAnsiTheme="minorHAnsi" w:cs="Calibri"/>
        </w:rPr>
        <w:t xml:space="preserve"> and commercial loans</w:t>
      </w:r>
      <w:r w:rsidRPr="00F76E29">
        <w:rPr>
          <w:rFonts w:asciiTheme="minorHAnsi" w:hAnsiTheme="minorHAnsi" w:cs="Calibri"/>
        </w:rPr>
        <w:t xml:space="preserve">, which </w:t>
      </w:r>
      <w:r>
        <w:rPr>
          <w:rFonts w:asciiTheme="minorHAnsi" w:hAnsiTheme="minorHAnsi" w:cs="Calibri"/>
        </w:rPr>
        <w:t>was</w:t>
      </w:r>
      <w:r w:rsidRPr="00F76E29">
        <w:rPr>
          <w:rFonts w:asciiTheme="minorHAnsi" w:hAnsiTheme="minorHAnsi" w:cs="Calibri"/>
        </w:rPr>
        <w:t xml:space="preserve"> partially offset by $</w:t>
      </w:r>
      <w:r w:rsidR="009B4657">
        <w:rPr>
          <w:rFonts w:asciiTheme="minorHAnsi" w:hAnsiTheme="minorHAnsi" w:cs="Calibri"/>
        </w:rPr>
        <w:t>124</w:t>
      </w:r>
      <w:r w:rsidRPr="00F76E29">
        <w:rPr>
          <w:rFonts w:asciiTheme="minorHAnsi" w:hAnsiTheme="minorHAnsi" w:cs="Calibri"/>
        </w:rPr>
        <w:t>.</w:t>
      </w:r>
      <w:r w:rsidR="009B4657">
        <w:rPr>
          <w:rFonts w:asciiTheme="minorHAnsi" w:hAnsiTheme="minorHAnsi" w:cs="Calibri"/>
        </w:rPr>
        <w:t>4</w:t>
      </w:r>
      <w:r w:rsidRPr="00F76E29">
        <w:rPr>
          <w:rFonts w:asciiTheme="minorHAnsi" w:hAnsiTheme="minorHAnsi" w:cs="Calibri"/>
        </w:rPr>
        <w:t xml:space="preserve"> million in repayments. Securities held to maturity decreased $</w:t>
      </w:r>
      <w:r w:rsidR="009B4657">
        <w:rPr>
          <w:rFonts w:asciiTheme="minorHAnsi" w:hAnsiTheme="minorHAnsi" w:cs="Calibri"/>
        </w:rPr>
        <w:t>2</w:t>
      </w:r>
      <w:r w:rsidRPr="00F76E29">
        <w:rPr>
          <w:rFonts w:asciiTheme="minorHAnsi" w:hAnsiTheme="minorHAnsi" w:cs="Calibri"/>
        </w:rPr>
        <w:t>.</w:t>
      </w:r>
      <w:r w:rsidR="009B4657">
        <w:rPr>
          <w:rFonts w:asciiTheme="minorHAnsi" w:hAnsiTheme="minorHAnsi" w:cs="Calibri"/>
        </w:rPr>
        <w:t>3</w:t>
      </w:r>
      <w:r w:rsidRPr="00F76E29">
        <w:rPr>
          <w:rFonts w:asciiTheme="minorHAnsi" w:hAnsiTheme="minorHAnsi" w:cs="Calibri"/>
        </w:rPr>
        <w:t xml:space="preserve"> million mostly due to maturities in municipal bonds and government agency bonds </w:t>
      </w:r>
      <w:r w:rsidR="002776BC">
        <w:rPr>
          <w:rFonts w:asciiTheme="minorHAnsi" w:hAnsiTheme="minorHAnsi" w:cs="Calibri"/>
        </w:rPr>
        <w:t>which</w:t>
      </w:r>
      <w:r w:rsidRPr="00F76E29">
        <w:rPr>
          <w:rFonts w:asciiTheme="minorHAnsi" w:hAnsiTheme="minorHAnsi" w:cs="Calibri"/>
        </w:rPr>
        <w:t xml:space="preserve"> were not replaced.  </w:t>
      </w:r>
    </w:p>
    <w:p w14:paraId="6D7BFBF1" w14:textId="77777777" w:rsidR="005A58C0" w:rsidRPr="00F76E29" w:rsidRDefault="005A58C0" w:rsidP="005A58C0">
      <w:pPr>
        <w:keepNext/>
        <w:keepLines/>
        <w:spacing w:after="200"/>
        <w:jc w:val="both"/>
        <w:rPr>
          <w:rFonts w:asciiTheme="minorHAnsi" w:hAnsiTheme="minorHAnsi" w:cs="Calibri"/>
        </w:rPr>
      </w:pPr>
      <w:r w:rsidRPr="00F76E29">
        <w:rPr>
          <w:rFonts w:asciiTheme="minorHAnsi" w:hAnsiTheme="minorHAnsi" w:cs="Calibri"/>
        </w:rPr>
        <w:lastRenderedPageBreak/>
        <w:t xml:space="preserve">Delinquent loans </w:t>
      </w:r>
      <w:r>
        <w:rPr>
          <w:rFonts w:asciiTheme="minorHAnsi" w:hAnsiTheme="minorHAnsi" w:cs="Calibri"/>
        </w:rPr>
        <w:t>de</w:t>
      </w:r>
      <w:r w:rsidRPr="00F76E29">
        <w:rPr>
          <w:rFonts w:asciiTheme="minorHAnsi" w:hAnsiTheme="minorHAnsi" w:cs="Calibri"/>
        </w:rPr>
        <w:t>creased $</w:t>
      </w:r>
      <w:r>
        <w:rPr>
          <w:rFonts w:asciiTheme="minorHAnsi" w:hAnsiTheme="minorHAnsi" w:cs="Calibri"/>
        </w:rPr>
        <w:t>232</w:t>
      </w:r>
      <w:r w:rsidRPr="00F76E29">
        <w:rPr>
          <w:rFonts w:asciiTheme="minorHAnsi" w:hAnsiTheme="minorHAnsi" w:cs="Calibri"/>
        </w:rPr>
        <w:t xml:space="preserve">,000, or </w:t>
      </w:r>
      <w:r>
        <w:rPr>
          <w:rFonts w:asciiTheme="minorHAnsi" w:hAnsiTheme="minorHAnsi" w:cs="Calibri"/>
        </w:rPr>
        <w:t>40</w:t>
      </w:r>
      <w:r w:rsidRPr="00F76E29">
        <w:rPr>
          <w:rFonts w:asciiTheme="minorHAnsi" w:hAnsiTheme="minorHAnsi" w:cs="Calibri"/>
        </w:rPr>
        <w:t>.</w:t>
      </w:r>
      <w:r>
        <w:rPr>
          <w:rFonts w:asciiTheme="minorHAnsi" w:hAnsiTheme="minorHAnsi" w:cs="Calibri"/>
        </w:rPr>
        <w:t>8</w:t>
      </w:r>
      <w:r w:rsidRPr="00F76E29">
        <w:rPr>
          <w:rFonts w:asciiTheme="minorHAnsi" w:hAnsiTheme="minorHAnsi" w:cs="Calibri"/>
        </w:rPr>
        <w:t xml:space="preserve">%, during the </w:t>
      </w:r>
      <w:r>
        <w:rPr>
          <w:rFonts w:asciiTheme="minorHAnsi" w:hAnsiTheme="minorHAnsi" w:cs="Calibri"/>
        </w:rPr>
        <w:t>nine-</w:t>
      </w:r>
      <w:r w:rsidRPr="00F76E29">
        <w:rPr>
          <w:rFonts w:asciiTheme="minorHAnsi" w:hAnsiTheme="minorHAnsi" w:cs="Calibri"/>
        </w:rPr>
        <w:t>month period end</w:t>
      </w:r>
      <w:r>
        <w:rPr>
          <w:rFonts w:asciiTheme="minorHAnsi" w:hAnsiTheme="minorHAnsi" w:cs="Calibri"/>
        </w:rPr>
        <w:t>ed</w:t>
      </w:r>
      <w:r w:rsidRPr="00F76E29">
        <w:rPr>
          <w:rFonts w:asciiTheme="minorHAnsi" w:hAnsiTheme="minorHAnsi" w:cs="Calibri"/>
        </w:rPr>
        <w:t xml:space="preserve"> </w:t>
      </w:r>
      <w:r>
        <w:rPr>
          <w:rFonts w:asciiTheme="minorHAnsi" w:hAnsiTheme="minorHAnsi" w:cs="Calibri"/>
        </w:rPr>
        <w:t>September</w:t>
      </w:r>
      <w:r w:rsidRPr="00F76E29">
        <w:rPr>
          <w:rFonts w:asciiTheme="minorHAnsi" w:hAnsiTheme="minorHAnsi" w:cs="Calibri"/>
        </w:rPr>
        <w:t xml:space="preserve"> 3</w:t>
      </w:r>
      <w:r>
        <w:rPr>
          <w:rFonts w:asciiTheme="minorHAnsi" w:hAnsiTheme="minorHAnsi" w:cs="Calibri"/>
        </w:rPr>
        <w:t>0</w:t>
      </w:r>
      <w:r w:rsidRPr="00F76E29">
        <w:rPr>
          <w:rFonts w:asciiTheme="minorHAnsi" w:hAnsiTheme="minorHAnsi" w:cs="Calibri"/>
        </w:rPr>
        <w:t xml:space="preserve">, 2020, finishing at </w:t>
      </w:r>
      <w:r>
        <w:rPr>
          <w:rFonts w:asciiTheme="minorHAnsi" w:hAnsiTheme="minorHAnsi" w:cs="Calibri"/>
        </w:rPr>
        <w:t>$337,000 or 0.1% of total loans</w:t>
      </w:r>
      <w:r w:rsidRPr="00F76E29">
        <w:rPr>
          <w:rFonts w:asciiTheme="minorHAnsi" w:hAnsiTheme="minorHAnsi" w:cs="Calibri"/>
        </w:rPr>
        <w:t>. During the same timeframe, non-performing assets</w:t>
      </w:r>
      <w:r>
        <w:rPr>
          <w:rFonts w:asciiTheme="minorHAnsi" w:hAnsiTheme="minorHAnsi" w:cs="Calibri"/>
        </w:rPr>
        <w:t xml:space="preserve"> in</w:t>
      </w:r>
      <w:r w:rsidRPr="00F76E29">
        <w:rPr>
          <w:rFonts w:asciiTheme="minorHAnsi" w:hAnsiTheme="minorHAnsi" w:cs="Calibri"/>
        </w:rPr>
        <w:t>creased $</w:t>
      </w:r>
      <w:r>
        <w:rPr>
          <w:rFonts w:asciiTheme="minorHAnsi" w:hAnsiTheme="minorHAnsi" w:cs="Calibri"/>
        </w:rPr>
        <w:t>82</w:t>
      </w:r>
      <w:r w:rsidRPr="00F76E29">
        <w:rPr>
          <w:rFonts w:asciiTheme="minorHAnsi" w:hAnsiTheme="minorHAnsi" w:cs="Calibri"/>
        </w:rPr>
        <w:t xml:space="preserve">,000, or </w:t>
      </w:r>
      <w:r>
        <w:rPr>
          <w:rFonts w:asciiTheme="minorHAnsi" w:hAnsiTheme="minorHAnsi" w:cs="Calibri"/>
        </w:rPr>
        <w:t>13</w:t>
      </w:r>
      <w:r w:rsidRPr="00F76E29">
        <w:rPr>
          <w:rFonts w:asciiTheme="minorHAnsi" w:hAnsiTheme="minorHAnsi" w:cs="Calibri"/>
        </w:rPr>
        <w:t>.</w:t>
      </w:r>
      <w:r>
        <w:rPr>
          <w:rFonts w:asciiTheme="minorHAnsi" w:hAnsiTheme="minorHAnsi" w:cs="Calibri"/>
        </w:rPr>
        <w:t>9</w:t>
      </w:r>
      <w:r w:rsidRPr="00F76E29">
        <w:rPr>
          <w:rFonts w:asciiTheme="minorHAnsi" w:hAnsiTheme="minorHAnsi" w:cs="Calibri"/>
        </w:rPr>
        <w:t>%, to $</w:t>
      </w:r>
      <w:r>
        <w:rPr>
          <w:rFonts w:asciiTheme="minorHAnsi" w:hAnsiTheme="minorHAnsi" w:cs="Calibri"/>
        </w:rPr>
        <w:t>672</w:t>
      </w:r>
      <w:r w:rsidRPr="00F76E29">
        <w:rPr>
          <w:rFonts w:asciiTheme="minorHAnsi" w:hAnsiTheme="minorHAnsi" w:cs="Calibri"/>
        </w:rPr>
        <w:t>,000</w:t>
      </w:r>
      <w:r>
        <w:rPr>
          <w:rFonts w:asciiTheme="minorHAnsi" w:hAnsiTheme="minorHAnsi" w:cs="Calibri"/>
        </w:rPr>
        <w:t xml:space="preserve"> due to the addition of one loan and were 0.09% of total assets at September 30, 2020</w:t>
      </w:r>
      <w:r w:rsidRPr="00F76E29">
        <w:rPr>
          <w:rFonts w:asciiTheme="minorHAnsi" w:hAnsiTheme="minorHAnsi" w:cs="Calibri"/>
        </w:rPr>
        <w:t>. Our allowance for loan losses was 0.</w:t>
      </w:r>
      <w:r>
        <w:rPr>
          <w:rFonts w:asciiTheme="minorHAnsi" w:hAnsiTheme="minorHAnsi" w:cs="Calibri"/>
        </w:rPr>
        <w:t>40</w:t>
      </w:r>
      <w:r w:rsidRPr="00F76E29">
        <w:rPr>
          <w:rFonts w:asciiTheme="minorHAnsi" w:hAnsiTheme="minorHAnsi" w:cs="Calibri"/>
        </w:rPr>
        <w:t xml:space="preserve">% of total loans </w:t>
      </w:r>
      <w:r>
        <w:rPr>
          <w:rFonts w:asciiTheme="minorHAnsi" w:hAnsiTheme="minorHAnsi" w:cs="Calibri"/>
        </w:rPr>
        <w:t xml:space="preserve">and 344.67% of non-performing loans </w:t>
      </w:r>
      <w:r w:rsidRPr="00F76E29">
        <w:rPr>
          <w:rFonts w:asciiTheme="minorHAnsi" w:hAnsiTheme="minorHAnsi" w:cs="Calibri"/>
        </w:rPr>
        <w:t xml:space="preserve">at </w:t>
      </w:r>
      <w:r>
        <w:rPr>
          <w:rFonts w:asciiTheme="minorHAnsi" w:hAnsiTheme="minorHAnsi" w:cs="Calibri"/>
        </w:rPr>
        <w:t>September</w:t>
      </w:r>
      <w:r w:rsidRPr="00F76E29">
        <w:rPr>
          <w:rFonts w:asciiTheme="minorHAnsi" w:hAnsiTheme="minorHAnsi" w:cs="Calibri"/>
        </w:rPr>
        <w:t xml:space="preserve"> 3</w:t>
      </w:r>
      <w:r>
        <w:rPr>
          <w:rFonts w:asciiTheme="minorHAnsi" w:hAnsiTheme="minorHAnsi" w:cs="Calibri"/>
        </w:rPr>
        <w:t>0</w:t>
      </w:r>
      <w:r w:rsidRPr="00F76E29">
        <w:rPr>
          <w:rFonts w:asciiTheme="minorHAnsi" w:hAnsiTheme="minorHAnsi" w:cs="Calibri"/>
        </w:rPr>
        <w:t>, 2020.</w:t>
      </w:r>
    </w:p>
    <w:p w14:paraId="589E9D61" w14:textId="7997C757" w:rsidR="009D4D8C" w:rsidRPr="00F76E29" w:rsidRDefault="009D4D8C" w:rsidP="009D4D8C">
      <w:pPr>
        <w:keepNext/>
        <w:keepLines/>
        <w:spacing w:after="200"/>
        <w:jc w:val="both"/>
        <w:rPr>
          <w:rFonts w:asciiTheme="minorHAnsi" w:hAnsiTheme="minorHAnsi" w:cs="Calibri"/>
        </w:rPr>
      </w:pPr>
      <w:r w:rsidRPr="00F76E29">
        <w:rPr>
          <w:rFonts w:asciiTheme="minorHAnsi" w:hAnsiTheme="minorHAnsi" w:cs="Calibri"/>
        </w:rPr>
        <w:t>Total liabilities decreased $</w:t>
      </w:r>
      <w:r w:rsidR="009B4657">
        <w:rPr>
          <w:rFonts w:asciiTheme="minorHAnsi" w:hAnsiTheme="minorHAnsi" w:cs="Calibri"/>
        </w:rPr>
        <w:t>65</w:t>
      </w:r>
      <w:r w:rsidRPr="00F76E29">
        <w:rPr>
          <w:rFonts w:asciiTheme="minorHAnsi" w:hAnsiTheme="minorHAnsi" w:cs="Calibri"/>
        </w:rPr>
        <w:t>.</w:t>
      </w:r>
      <w:r w:rsidR="009B4657">
        <w:rPr>
          <w:rFonts w:asciiTheme="minorHAnsi" w:hAnsiTheme="minorHAnsi" w:cs="Calibri"/>
        </w:rPr>
        <w:t>5</w:t>
      </w:r>
      <w:r w:rsidRPr="00F76E29">
        <w:rPr>
          <w:rFonts w:asciiTheme="minorHAnsi" w:hAnsiTheme="minorHAnsi" w:cs="Calibri"/>
        </w:rPr>
        <w:t xml:space="preserve"> million, or </w:t>
      </w:r>
      <w:r w:rsidR="009B4657">
        <w:rPr>
          <w:rFonts w:asciiTheme="minorHAnsi" w:hAnsiTheme="minorHAnsi" w:cs="Calibri"/>
        </w:rPr>
        <w:t>9</w:t>
      </w:r>
      <w:r w:rsidRPr="00F76E29">
        <w:rPr>
          <w:rFonts w:asciiTheme="minorHAnsi" w:hAnsiTheme="minorHAnsi" w:cs="Calibri"/>
        </w:rPr>
        <w:t>.</w:t>
      </w:r>
      <w:r>
        <w:rPr>
          <w:rFonts w:asciiTheme="minorHAnsi" w:hAnsiTheme="minorHAnsi" w:cs="Calibri"/>
        </w:rPr>
        <w:t>5</w:t>
      </w:r>
      <w:r w:rsidRPr="00F76E29">
        <w:rPr>
          <w:rFonts w:asciiTheme="minorHAnsi" w:hAnsiTheme="minorHAnsi" w:cs="Calibri"/>
        </w:rPr>
        <w:t>%, to $</w:t>
      </w:r>
      <w:r>
        <w:rPr>
          <w:rFonts w:asciiTheme="minorHAnsi" w:hAnsiTheme="minorHAnsi" w:cs="Calibri"/>
        </w:rPr>
        <w:t>6</w:t>
      </w:r>
      <w:r w:rsidR="009B4657">
        <w:rPr>
          <w:rFonts w:asciiTheme="minorHAnsi" w:hAnsiTheme="minorHAnsi" w:cs="Calibri"/>
        </w:rPr>
        <w:t>2</w:t>
      </w:r>
      <w:r w:rsidR="000A3D64">
        <w:rPr>
          <w:rFonts w:asciiTheme="minorHAnsi" w:hAnsiTheme="minorHAnsi" w:cs="Calibri"/>
        </w:rPr>
        <w:t>6</w:t>
      </w:r>
      <w:r w:rsidRPr="00F76E29">
        <w:rPr>
          <w:rFonts w:asciiTheme="minorHAnsi" w:hAnsiTheme="minorHAnsi" w:cs="Calibri"/>
        </w:rPr>
        <w:t>.</w:t>
      </w:r>
      <w:r w:rsidR="009B4657">
        <w:rPr>
          <w:rFonts w:asciiTheme="minorHAnsi" w:hAnsiTheme="minorHAnsi" w:cs="Calibri"/>
        </w:rPr>
        <w:t>1</w:t>
      </w:r>
      <w:r w:rsidRPr="00F76E29">
        <w:rPr>
          <w:rFonts w:asciiTheme="minorHAnsi" w:hAnsiTheme="minorHAnsi" w:cs="Calibri"/>
        </w:rPr>
        <w:t xml:space="preserve"> million mainly due to $90.4 million in gross subscriptions that was either converted to common stock or</w:t>
      </w:r>
      <w:r w:rsidR="003F6042">
        <w:rPr>
          <w:rFonts w:asciiTheme="minorHAnsi" w:hAnsiTheme="minorHAnsi" w:cs="Calibri"/>
        </w:rPr>
        <w:t xml:space="preserve"> refunded</w:t>
      </w:r>
      <w:r w:rsidRPr="00F76E29">
        <w:rPr>
          <w:rFonts w:asciiTheme="minorHAnsi" w:hAnsiTheme="minorHAnsi" w:cs="Calibri"/>
        </w:rPr>
        <w:t xml:space="preserve"> due to the oversubscription of the stock offering. Deposits </w:t>
      </w:r>
      <w:r w:rsidR="009B4657">
        <w:rPr>
          <w:rFonts w:asciiTheme="minorHAnsi" w:hAnsiTheme="minorHAnsi" w:cs="Calibri"/>
        </w:rPr>
        <w:t>in</w:t>
      </w:r>
      <w:r w:rsidRPr="00F76E29">
        <w:rPr>
          <w:rFonts w:asciiTheme="minorHAnsi" w:hAnsiTheme="minorHAnsi" w:cs="Calibri"/>
        </w:rPr>
        <w:t>creased $</w:t>
      </w:r>
      <w:r w:rsidR="009B4657">
        <w:rPr>
          <w:rFonts w:asciiTheme="minorHAnsi" w:hAnsiTheme="minorHAnsi" w:cs="Calibri"/>
        </w:rPr>
        <w:t>13</w:t>
      </w:r>
      <w:r w:rsidRPr="00F76E29">
        <w:rPr>
          <w:rFonts w:asciiTheme="minorHAnsi" w:hAnsiTheme="minorHAnsi" w:cs="Calibri"/>
        </w:rPr>
        <w:t>.</w:t>
      </w:r>
      <w:r w:rsidR="009B4657">
        <w:rPr>
          <w:rFonts w:asciiTheme="minorHAnsi" w:hAnsiTheme="minorHAnsi" w:cs="Calibri"/>
        </w:rPr>
        <w:t>1</w:t>
      </w:r>
      <w:r w:rsidRPr="00F76E29">
        <w:rPr>
          <w:rFonts w:asciiTheme="minorHAnsi" w:hAnsiTheme="minorHAnsi" w:cs="Calibri"/>
        </w:rPr>
        <w:t xml:space="preserve"> million</w:t>
      </w:r>
      <w:r>
        <w:rPr>
          <w:rFonts w:asciiTheme="minorHAnsi" w:hAnsiTheme="minorHAnsi" w:cs="Calibri"/>
        </w:rPr>
        <w:t>,</w:t>
      </w:r>
      <w:r w:rsidRPr="00F76E29">
        <w:rPr>
          <w:rFonts w:asciiTheme="minorHAnsi" w:hAnsiTheme="minorHAnsi" w:cs="Calibri"/>
        </w:rPr>
        <w:t xml:space="preserve"> or </w:t>
      </w:r>
      <w:r w:rsidR="009B4657">
        <w:rPr>
          <w:rFonts w:asciiTheme="minorHAnsi" w:hAnsiTheme="minorHAnsi" w:cs="Calibri"/>
        </w:rPr>
        <w:t>2</w:t>
      </w:r>
      <w:r w:rsidRPr="00F76E29">
        <w:rPr>
          <w:rFonts w:asciiTheme="minorHAnsi" w:hAnsiTheme="minorHAnsi" w:cs="Calibri"/>
        </w:rPr>
        <w:t>.</w:t>
      </w:r>
      <w:r w:rsidR="009B4657">
        <w:rPr>
          <w:rFonts w:asciiTheme="minorHAnsi" w:hAnsiTheme="minorHAnsi" w:cs="Calibri"/>
        </w:rPr>
        <w:t>6</w:t>
      </w:r>
      <w:r w:rsidRPr="00F76E29">
        <w:rPr>
          <w:rFonts w:asciiTheme="minorHAnsi" w:hAnsiTheme="minorHAnsi" w:cs="Calibri"/>
        </w:rPr>
        <w:t>%</w:t>
      </w:r>
      <w:r>
        <w:rPr>
          <w:rFonts w:asciiTheme="minorHAnsi" w:hAnsiTheme="minorHAnsi" w:cs="Calibri"/>
        </w:rPr>
        <w:t>,</w:t>
      </w:r>
      <w:r w:rsidRPr="00F76E29">
        <w:rPr>
          <w:rFonts w:asciiTheme="minorHAnsi" w:hAnsiTheme="minorHAnsi" w:cs="Calibri"/>
        </w:rPr>
        <w:t xml:space="preserve"> due to </w:t>
      </w:r>
      <w:r w:rsidR="009B4657">
        <w:rPr>
          <w:rFonts w:asciiTheme="minorHAnsi" w:hAnsiTheme="minorHAnsi" w:cs="Calibri"/>
        </w:rPr>
        <w:t>in</w:t>
      </w:r>
      <w:r w:rsidRPr="00F76E29">
        <w:rPr>
          <w:rFonts w:asciiTheme="minorHAnsi" w:hAnsiTheme="minorHAnsi" w:cs="Calibri"/>
        </w:rPr>
        <w:t>crease</w:t>
      </w:r>
      <w:r w:rsidR="00A958AE">
        <w:rPr>
          <w:rFonts w:asciiTheme="minorHAnsi" w:hAnsiTheme="minorHAnsi" w:cs="Calibri"/>
        </w:rPr>
        <w:t>s</w:t>
      </w:r>
      <w:r w:rsidRPr="00F76E29">
        <w:rPr>
          <w:rFonts w:asciiTheme="minorHAnsi" w:hAnsiTheme="minorHAnsi" w:cs="Calibri"/>
        </w:rPr>
        <w:t xml:space="preserve"> in </w:t>
      </w:r>
      <w:r w:rsidR="00A958AE">
        <w:rPr>
          <w:rFonts w:asciiTheme="minorHAnsi" w:hAnsiTheme="minorHAnsi" w:cs="Calibri"/>
        </w:rPr>
        <w:t>non-interest and interest bearing deposits</w:t>
      </w:r>
      <w:r w:rsidRPr="00F76E29">
        <w:rPr>
          <w:rFonts w:asciiTheme="minorHAnsi" w:hAnsiTheme="minorHAnsi" w:cs="Calibri"/>
        </w:rPr>
        <w:t>.  Federal Home Loan Bank advances increased $</w:t>
      </w:r>
      <w:r w:rsidR="00A958AE">
        <w:rPr>
          <w:rFonts w:asciiTheme="minorHAnsi" w:hAnsiTheme="minorHAnsi" w:cs="Calibri"/>
        </w:rPr>
        <w:t>11</w:t>
      </w:r>
      <w:r w:rsidRPr="00F76E29">
        <w:rPr>
          <w:rFonts w:asciiTheme="minorHAnsi" w:hAnsiTheme="minorHAnsi" w:cs="Calibri"/>
        </w:rPr>
        <w:t>.</w:t>
      </w:r>
      <w:r w:rsidR="00A958AE">
        <w:rPr>
          <w:rFonts w:asciiTheme="minorHAnsi" w:hAnsiTheme="minorHAnsi" w:cs="Calibri"/>
        </w:rPr>
        <w:t>1</w:t>
      </w:r>
      <w:r w:rsidRPr="00F76E29">
        <w:rPr>
          <w:rFonts w:asciiTheme="minorHAnsi" w:hAnsiTheme="minorHAnsi" w:cs="Calibri"/>
        </w:rPr>
        <w:t xml:space="preserve"> million</w:t>
      </w:r>
      <w:r>
        <w:rPr>
          <w:rFonts w:asciiTheme="minorHAnsi" w:hAnsiTheme="minorHAnsi" w:cs="Calibri"/>
        </w:rPr>
        <w:t>,</w:t>
      </w:r>
      <w:r w:rsidRPr="00F76E29">
        <w:rPr>
          <w:rFonts w:asciiTheme="minorHAnsi" w:hAnsiTheme="minorHAnsi" w:cs="Calibri"/>
        </w:rPr>
        <w:t xml:space="preserve"> or</w:t>
      </w:r>
      <w:r>
        <w:rPr>
          <w:rFonts w:asciiTheme="minorHAnsi" w:hAnsiTheme="minorHAnsi" w:cs="Calibri"/>
        </w:rPr>
        <w:t xml:space="preserve"> 1</w:t>
      </w:r>
      <w:r w:rsidR="00A958AE">
        <w:rPr>
          <w:rFonts w:asciiTheme="minorHAnsi" w:hAnsiTheme="minorHAnsi" w:cs="Calibri"/>
        </w:rPr>
        <w:t>1</w:t>
      </w:r>
      <w:r w:rsidRPr="00F76E29">
        <w:rPr>
          <w:rFonts w:asciiTheme="minorHAnsi" w:hAnsiTheme="minorHAnsi" w:cs="Calibri"/>
        </w:rPr>
        <w:t>.</w:t>
      </w:r>
      <w:r w:rsidR="00A958AE">
        <w:rPr>
          <w:rFonts w:asciiTheme="minorHAnsi" w:hAnsiTheme="minorHAnsi" w:cs="Calibri"/>
        </w:rPr>
        <w:t>4</w:t>
      </w:r>
      <w:r w:rsidRPr="00F76E29">
        <w:rPr>
          <w:rFonts w:asciiTheme="minorHAnsi" w:hAnsiTheme="minorHAnsi" w:cs="Calibri"/>
        </w:rPr>
        <w:t>%</w:t>
      </w:r>
      <w:r>
        <w:rPr>
          <w:rFonts w:asciiTheme="minorHAnsi" w:hAnsiTheme="minorHAnsi" w:cs="Calibri"/>
        </w:rPr>
        <w:t>,</w:t>
      </w:r>
      <w:r w:rsidRPr="00F76E29">
        <w:rPr>
          <w:rFonts w:asciiTheme="minorHAnsi" w:hAnsiTheme="minorHAnsi" w:cs="Calibri"/>
        </w:rPr>
        <w:t xml:space="preserve"> as borrowings were available at lower rates than deposits.</w:t>
      </w:r>
    </w:p>
    <w:p w14:paraId="58087478" w14:textId="262E8BE9" w:rsidR="009D4D8C" w:rsidRPr="00F76E29" w:rsidRDefault="009D4D8C" w:rsidP="009D4D8C">
      <w:pPr>
        <w:jc w:val="both"/>
        <w:rPr>
          <w:rFonts w:asciiTheme="minorHAnsi" w:hAnsiTheme="minorHAnsi" w:cs="Calibri"/>
        </w:rPr>
      </w:pPr>
      <w:r w:rsidRPr="00F76E29">
        <w:rPr>
          <w:rFonts w:asciiTheme="minorHAnsi" w:hAnsiTheme="minorHAnsi" w:cs="Calibri"/>
        </w:rPr>
        <w:t>Stockholders’ equity increased $</w:t>
      </w:r>
      <w:r>
        <w:rPr>
          <w:rFonts w:asciiTheme="minorHAnsi" w:hAnsiTheme="minorHAnsi" w:cs="Calibri"/>
        </w:rPr>
        <w:t>5</w:t>
      </w:r>
      <w:r w:rsidR="00A958AE">
        <w:rPr>
          <w:rFonts w:asciiTheme="minorHAnsi" w:hAnsiTheme="minorHAnsi" w:cs="Calibri"/>
        </w:rPr>
        <w:t>2</w:t>
      </w:r>
      <w:r w:rsidRPr="00F76E29">
        <w:rPr>
          <w:rFonts w:asciiTheme="minorHAnsi" w:hAnsiTheme="minorHAnsi" w:cs="Calibri"/>
        </w:rPr>
        <w:t>.</w:t>
      </w:r>
      <w:r>
        <w:rPr>
          <w:rFonts w:asciiTheme="minorHAnsi" w:hAnsiTheme="minorHAnsi" w:cs="Calibri"/>
        </w:rPr>
        <w:t>4</w:t>
      </w:r>
      <w:r w:rsidRPr="00F76E29">
        <w:rPr>
          <w:rFonts w:asciiTheme="minorHAnsi" w:hAnsiTheme="minorHAnsi" w:cs="Calibri"/>
        </w:rPr>
        <w:t xml:space="preserve"> million to $12</w:t>
      </w:r>
      <w:r w:rsidR="00A958AE">
        <w:rPr>
          <w:rFonts w:asciiTheme="minorHAnsi" w:hAnsiTheme="minorHAnsi" w:cs="Calibri"/>
        </w:rPr>
        <w:t>7</w:t>
      </w:r>
      <w:r w:rsidRPr="00F76E29">
        <w:rPr>
          <w:rFonts w:asciiTheme="minorHAnsi" w:hAnsiTheme="minorHAnsi" w:cs="Calibri"/>
        </w:rPr>
        <w:t>.</w:t>
      </w:r>
      <w:r w:rsidR="00A958AE">
        <w:rPr>
          <w:rFonts w:asciiTheme="minorHAnsi" w:hAnsiTheme="minorHAnsi" w:cs="Calibri"/>
        </w:rPr>
        <w:t>4</w:t>
      </w:r>
      <w:r w:rsidRPr="00F76E29">
        <w:rPr>
          <w:rFonts w:asciiTheme="minorHAnsi" w:hAnsiTheme="minorHAnsi" w:cs="Calibri"/>
        </w:rPr>
        <w:t xml:space="preserve"> million, primarily due </w:t>
      </w:r>
      <w:r>
        <w:rPr>
          <w:rFonts w:asciiTheme="minorHAnsi" w:hAnsiTheme="minorHAnsi" w:cs="Calibri"/>
        </w:rPr>
        <w:t xml:space="preserve">$54.6 million of net proceeds raised in </w:t>
      </w:r>
      <w:r w:rsidRPr="00F76E29">
        <w:rPr>
          <w:rFonts w:asciiTheme="minorHAnsi" w:hAnsiTheme="minorHAnsi" w:cs="Calibri"/>
        </w:rPr>
        <w:t xml:space="preserve">the </w:t>
      </w:r>
      <w:r>
        <w:rPr>
          <w:rFonts w:asciiTheme="minorHAnsi" w:hAnsiTheme="minorHAnsi" w:cs="Calibri"/>
        </w:rPr>
        <w:t>stock offering</w:t>
      </w:r>
      <w:r w:rsidRPr="00F76E29">
        <w:rPr>
          <w:rFonts w:asciiTheme="minorHAnsi" w:hAnsiTheme="minorHAnsi" w:cs="Calibri"/>
        </w:rPr>
        <w:t xml:space="preserve">. At </w:t>
      </w:r>
      <w:r w:rsidR="00A958AE">
        <w:rPr>
          <w:rFonts w:asciiTheme="minorHAnsi" w:hAnsiTheme="minorHAnsi" w:cs="Calibri"/>
        </w:rPr>
        <w:t>September</w:t>
      </w:r>
      <w:r w:rsidRPr="00F76E29">
        <w:rPr>
          <w:rFonts w:asciiTheme="minorHAnsi" w:hAnsiTheme="minorHAnsi" w:cs="Calibri"/>
        </w:rPr>
        <w:t xml:space="preserve"> 3</w:t>
      </w:r>
      <w:r>
        <w:rPr>
          <w:rFonts w:asciiTheme="minorHAnsi" w:hAnsiTheme="minorHAnsi" w:cs="Calibri"/>
        </w:rPr>
        <w:t>0</w:t>
      </w:r>
      <w:r w:rsidRPr="00F76E29">
        <w:rPr>
          <w:rFonts w:asciiTheme="minorHAnsi" w:hAnsiTheme="minorHAnsi" w:cs="Calibri"/>
        </w:rPr>
        <w:t>, 2020, the Company’s ratio of average stockholders’ equity-to-total assets was 1</w:t>
      </w:r>
      <w:r w:rsidR="00A958AE">
        <w:rPr>
          <w:rFonts w:asciiTheme="minorHAnsi" w:hAnsiTheme="minorHAnsi" w:cs="Calibri"/>
        </w:rPr>
        <w:t>6</w:t>
      </w:r>
      <w:r w:rsidRPr="00F76E29">
        <w:rPr>
          <w:rFonts w:asciiTheme="minorHAnsi" w:hAnsiTheme="minorHAnsi" w:cs="Calibri"/>
        </w:rPr>
        <w:t>.</w:t>
      </w:r>
      <w:r w:rsidR="00A958AE">
        <w:rPr>
          <w:rFonts w:asciiTheme="minorHAnsi" w:hAnsiTheme="minorHAnsi" w:cs="Calibri"/>
        </w:rPr>
        <w:t>90</w:t>
      </w:r>
      <w:r w:rsidRPr="00F76E29">
        <w:rPr>
          <w:rFonts w:asciiTheme="minorHAnsi" w:hAnsiTheme="minorHAnsi" w:cs="Calibri"/>
        </w:rPr>
        <w:t xml:space="preserve">%, compared to 10.96% at December 31, 2019. </w:t>
      </w:r>
    </w:p>
    <w:p w14:paraId="0EFCB609" w14:textId="77777777" w:rsidR="00A56605" w:rsidRPr="00F76E29" w:rsidRDefault="00A56605" w:rsidP="00E57EC0">
      <w:pPr>
        <w:pStyle w:val="HTMLPreformatted"/>
        <w:keepNext/>
        <w:pageBreakBefor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center"/>
        <w:rPr>
          <w:rFonts w:asciiTheme="minorHAnsi" w:hAnsiTheme="minorHAnsi"/>
          <w:b/>
          <w:sz w:val="22"/>
          <w:szCs w:val="22"/>
        </w:rPr>
      </w:pPr>
      <w:r w:rsidRPr="00F76E29">
        <w:rPr>
          <w:rFonts w:asciiTheme="minorHAnsi" w:hAnsiTheme="minorHAnsi"/>
          <w:b/>
          <w:sz w:val="22"/>
          <w:szCs w:val="22"/>
        </w:rPr>
        <w:lastRenderedPageBreak/>
        <w:t>EXPLANATORY NOTE</w:t>
      </w:r>
    </w:p>
    <w:p w14:paraId="0FE02CEC" w14:textId="1DFB42A0" w:rsidR="00A56605" w:rsidRPr="00F76E29" w:rsidRDefault="00A56605" w:rsidP="00F76E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heme="minorHAnsi" w:hAnsiTheme="minorHAnsi"/>
          <w:sz w:val="22"/>
          <w:szCs w:val="22"/>
        </w:rPr>
      </w:pPr>
      <w:r w:rsidRPr="00F76E29">
        <w:rPr>
          <w:rFonts w:asciiTheme="minorHAnsi" w:hAnsiTheme="minorHAnsi"/>
          <w:sz w:val="22"/>
          <w:szCs w:val="22"/>
        </w:rPr>
        <w:t>The Company was formed to serve as the mid-tier stock holding company for the Bank in connection with the reorganization of the Bank and its mutual holding company, Bogota Financial, MHC, into the two-tier mutual holding company structure.  As of December 31, 2019 and for the</w:t>
      </w:r>
      <w:r w:rsidR="00A80D1C">
        <w:rPr>
          <w:rFonts w:asciiTheme="minorHAnsi" w:hAnsiTheme="minorHAnsi"/>
          <w:sz w:val="22"/>
          <w:szCs w:val="22"/>
        </w:rPr>
        <w:t xml:space="preserve"> three and</w:t>
      </w:r>
      <w:r w:rsidRPr="00F76E29">
        <w:rPr>
          <w:rFonts w:asciiTheme="minorHAnsi" w:hAnsiTheme="minorHAnsi"/>
          <w:sz w:val="22"/>
          <w:szCs w:val="22"/>
        </w:rPr>
        <w:t xml:space="preserve"> </w:t>
      </w:r>
      <w:r w:rsidR="000A3D64">
        <w:rPr>
          <w:rFonts w:asciiTheme="minorHAnsi" w:hAnsiTheme="minorHAnsi"/>
          <w:sz w:val="22"/>
          <w:szCs w:val="22"/>
        </w:rPr>
        <w:t>nine</w:t>
      </w:r>
      <w:r w:rsidRPr="00F76E29">
        <w:rPr>
          <w:rFonts w:asciiTheme="minorHAnsi" w:hAnsiTheme="minorHAnsi"/>
          <w:sz w:val="22"/>
          <w:szCs w:val="22"/>
        </w:rPr>
        <w:t xml:space="preserve"> months ended </w:t>
      </w:r>
      <w:r w:rsidR="00442580">
        <w:rPr>
          <w:rFonts w:asciiTheme="minorHAnsi" w:hAnsiTheme="minorHAnsi"/>
          <w:sz w:val="22"/>
          <w:szCs w:val="22"/>
        </w:rPr>
        <w:t>September</w:t>
      </w:r>
      <w:r w:rsidRPr="00F76E29">
        <w:rPr>
          <w:rFonts w:asciiTheme="minorHAnsi" w:hAnsiTheme="minorHAnsi"/>
          <w:sz w:val="22"/>
          <w:szCs w:val="22"/>
        </w:rPr>
        <w:t xml:space="preserve"> 3</w:t>
      </w:r>
      <w:r w:rsidR="00333E04">
        <w:rPr>
          <w:rFonts w:asciiTheme="minorHAnsi" w:hAnsiTheme="minorHAnsi"/>
          <w:sz w:val="22"/>
          <w:szCs w:val="22"/>
        </w:rPr>
        <w:t>0</w:t>
      </w:r>
      <w:r w:rsidRPr="00F76E29">
        <w:rPr>
          <w:rFonts w:asciiTheme="minorHAnsi" w:hAnsiTheme="minorHAnsi"/>
          <w:sz w:val="22"/>
          <w:szCs w:val="22"/>
        </w:rPr>
        <w:t>, 20</w:t>
      </w:r>
      <w:r w:rsidR="000A3D64">
        <w:rPr>
          <w:rFonts w:asciiTheme="minorHAnsi" w:hAnsiTheme="minorHAnsi"/>
          <w:sz w:val="22"/>
          <w:szCs w:val="22"/>
        </w:rPr>
        <w:t>20</w:t>
      </w:r>
      <w:r w:rsidRPr="00F76E29">
        <w:rPr>
          <w:rFonts w:asciiTheme="minorHAnsi" w:hAnsiTheme="minorHAnsi"/>
          <w:sz w:val="22"/>
          <w:szCs w:val="22"/>
        </w:rPr>
        <w:t>, the reorganization had not been completed and the Company had no assets or liabilities and had not conducted any business activities other than organizational activities.  Accordingly, the unaudited financial statements and other financial information at and for the 2019 periods contained relate solely to the consolidated financial results of the Bank.</w:t>
      </w:r>
    </w:p>
    <w:p w14:paraId="26280F4F" w14:textId="77777777" w:rsidR="00A56605" w:rsidRPr="00F76E29" w:rsidRDefault="00A56605" w:rsidP="00E57EC0">
      <w:pPr>
        <w:keepNext/>
        <w:spacing w:after="200"/>
        <w:jc w:val="both"/>
        <w:rPr>
          <w:rFonts w:asciiTheme="minorHAnsi" w:hAnsiTheme="minorHAnsi"/>
          <w:b/>
        </w:rPr>
      </w:pPr>
      <w:r w:rsidRPr="00F76E29">
        <w:rPr>
          <w:rFonts w:asciiTheme="minorHAnsi" w:hAnsiTheme="minorHAnsi"/>
          <w:b/>
        </w:rPr>
        <w:t>About Bogota Financial Corp.</w:t>
      </w:r>
    </w:p>
    <w:p w14:paraId="69E01EAA" w14:textId="77777777" w:rsidR="00A56605" w:rsidRPr="00F76E29" w:rsidRDefault="00A56605" w:rsidP="00F76E29">
      <w:pPr>
        <w:tabs>
          <w:tab w:val="left" w:pos="720"/>
        </w:tabs>
        <w:spacing w:after="200"/>
        <w:jc w:val="both"/>
        <w:rPr>
          <w:rFonts w:asciiTheme="minorHAnsi" w:hAnsiTheme="minorHAnsi"/>
          <w:color w:val="000000"/>
        </w:rPr>
      </w:pPr>
      <w:r w:rsidRPr="00F76E29">
        <w:rPr>
          <w:rFonts w:asciiTheme="minorHAnsi" w:hAnsiTheme="minorHAnsi"/>
          <w:color w:val="000000"/>
        </w:rPr>
        <w:t>Bogota Financial Corp. is a Maryland corporation organized as the mid-tier holding company of Bogota Savings Bank and is the majority-owned subsidiary of Bogota Financial, MHC. Bogota Savings Bank is a New Jersey chartered stock savings bank that has served the banking needs of its customers in northern and central New Jersey since 1893. It operates from two offices located in Bogota and Teaneck, New Jersey.</w:t>
      </w:r>
    </w:p>
    <w:p w14:paraId="56055F36" w14:textId="77777777" w:rsidR="00A56605" w:rsidRPr="00F76E29" w:rsidRDefault="00A56605" w:rsidP="00E57EC0">
      <w:pPr>
        <w:keepNext/>
        <w:spacing w:after="200" w:line="259" w:lineRule="auto"/>
        <w:jc w:val="both"/>
        <w:rPr>
          <w:rFonts w:asciiTheme="minorHAnsi" w:hAnsiTheme="minorHAnsi"/>
          <w:b/>
        </w:rPr>
      </w:pPr>
      <w:r w:rsidRPr="00F76E29">
        <w:rPr>
          <w:rFonts w:asciiTheme="minorHAnsi" w:hAnsiTheme="minorHAnsi"/>
          <w:b/>
        </w:rPr>
        <w:t>Forward-Looking Statements</w:t>
      </w:r>
    </w:p>
    <w:p w14:paraId="59E4BDBA" w14:textId="77777777" w:rsidR="00A80D1C" w:rsidRPr="00F76E29" w:rsidRDefault="00A80D1C" w:rsidP="00A80D1C">
      <w:pPr>
        <w:spacing w:after="200"/>
        <w:jc w:val="both"/>
        <w:rPr>
          <w:rFonts w:asciiTheme="minorHAnsi" w:hAnsiTheme="minorHAnsi"/>
        </w:rPr>
      </w:pPr>
      <w:r w:rsidRPr="00F76E29">
        <w:rPr>
          <w:rFonts w:asciiTheme="minorHAnsi" w:hAnsiTheme="minorHAnsi"/>
        </w:rPr>
        <w:t xml:space="preserve">This press release contains certain forward-looking statements about the Company and the Bank.  Forward-looking statements include statements regarding anticipated future events and can be identified by the fact that they do not relate strictly to historical or current facts.  They often include words such as “believe,” “expect,” “anticipate,” “estimate,” and “intend” or future or conditional verbs such as “will,” “would,” “should,” “could,” or “may.”  Forward-looking statements, by their nature, are subject to risks and uncertainties.  Certain factors that could cause actual results to differ materially from expected results include increased competitive pressures, changes in the interest rate environment, general economic conditions or conditions within the securities markets, and legislative and regulatory changes that could adversely affect the business in which the Company and the Bank are engaged. </w:t>
      </w:r>
    </w:p>
    <w:p w14:paraId="7DF1D9DA" w14:textId="77777777" w:rsidR="00255B5D" w:rsidRPr="00255B5D" w:rsidRDefault="00255B5D" w:rsidP="00255B5D">
      <w:pPr>
        <w:spacing w:after="200"/>
        <w:jc w:val="both"/>
        <w:rPr>
          <w:rFonts w:asciiTheme="minorHAnsi" w:hAnsiTheme="minorHAnsi"/>
        </w:rPr>
      </w:pPr>
      <w:r w:rsidRPr="00255B5D">
        <w:rPr>
          <w:rFonts w:asciiTheme="minorHAnsi" w:hAnsiTheme="minorHAnsi"/>
        </w:rPr>
        <w:t xml:space="preserve">Further, given its ongoing and dynamic nature, it is difficult to predict the full impact of the COVID-19 outbreak on our business. The extent of such impact will depend on future developments, which are highly uncertain, including when the coronavirus can be controlled and abated and whether the gradual reopening of businesses will result in a meaningful increase in economic activity. As the result of the COVID-19 pandemic and the related adverse local and national economic consequences, we could be subject to any of the following risks, any of which could have a material, adverse effect on our business, financial condition, liquidity, and results of operations: demand for our products and services may decline, making it difficult to grow assets and income; if the economy is unable to substantially reopen or remain open, and high levels of unemployment continue for an extended period of time, loan delinquencies, problem assets, and foreclosures may increase, resulting in increased charges and reduced income; collateral for loans, especially real estate, may decline in value, which could cause loan losses to increase; our allowance for loan losses may have to be increased if borrowers experience financial difficulties, which will adversely affect our net income; the net worth and liquidity of loan guarantors may decline, impairing their ability to honor commitments to us. As the result of the decline in the Federal Reserve Board’s target federal funds rate to near 0%, the yield on our assets may decline to a greater extent than the decline in our cost of interest-bearing liabilities, reducing our net interest margin and spread and reducing net income. Our cyber security risks are increased as the result of an increase in the number of employees working remotely; and FDIC premiums may increase if the agency experience additional resolution costs.  </w:t>
      </w:r>
    </w:p>
    <w:p w14:paraId="7F9298DE" w14:textId="77777777" w:rsidR="00A80D1C" w:rsidRPr="00F76E29" w:rsidRDefault="00A80D1C" w:rsidP="00A80D1C">
      <w:pPr>
        <w:jc w:val="both"/>
        <w:rPr>
          <w:rFonts w:asciiTheme="minorHAnsi" w:hAnsiTheme="minorHAnsi"/>
        </w:rPr>
      </w:pPr>
      <w:r w:rsidRPr="00F76E29">
        <w:rPr>
          <w:rFonts w:asciiTheme="minorHAnsi" w:hAnsiTheme="minorHAnsi"/>
        </w:rPr>
        <w:t>The Company undertakes no obligation to revise these forward-looking statements or to reflect events or circumstances after the date of this press release.</w:t>
      </w:r>
    </w:p>
    <w:p w14:paraId="4BCB36FE" w14:textId="77777777" w:rsidR="00E57EC0" w:rsidRPr="00F76E29" w:rsidRDefault="00E57EC0" w:rsidP="00E57EC0">
      <w:pPr>
        <w:pStyle w:val="NormalWeb"/>
        <w:keepNext/>
        <w:pageBreakBefore/>
        <w:spacing w:before="0" w:beforeAutospacing="0" w:after="0" w:afterAutospacing="0"/>
        <w:ind w:left="240" w:hanging="240"/>
        <w:jc w:val="center"/>
        <w:rPr>
          <w:rFonts w:asciiTheme="minorHAnsi" w:hAnsiTheme="minorHAnsi"/>
          <w:b/>
          <w:sz w:val="20"/>
        </w:rPr>
      </w:pPr>
      <w:r w:rsidRPr="00F76E29">
        <w:rPr>
          <w:rFonts w:asciiTheme="minorHAnsi" w:hAnsiTheme="minorHAnsi"/>
          <w:b/>
          <w:sz w:val="20"/>
        </w:rPr>
        <w:lastRenderedPageBreak/>
        <w:t>BOGOTA FINANCIAL CORP</w:t>
      </w:r>
      <w:r w:rsidRPr="00F76E29">
        <w:rPr>
          <w:rFonts w:asciiTheme="minorHAnsi" w:hAnsiTheme="minorHAnsi"/>
          <w:b/>
          <w:sz w:val="20"/>
          <w:szCs w:val="20"/>
        </w:rPr>
        <w:t>.</w:t>
      </w:r>
    </w:p>
    <w:p w14:paraId="4E09966C" w14:textId="77777777" w:rsidR="00E57EC0" w:rsidRPr="00F76E29" w:rsidRDefault="00E57EC0" w:rsidP="00E57EC0">
      <w:pPr>
        <w:keepNext/>
        <w:jc w:val="center"/>
        <w:rPr>
          <w:rFonts w:asciiTheme="minorHAnsi" w:hAnsiTheme="minorHAnsi"/>
          <w:b/>
          <w:sz w:val="20"/>
        </w:rPr>
      </w:pPr>
      <w:r w:rsidRPr="00F76E29">
        <w:rPr>
          <w:rFonts w:asciiTheme="minorHAnsi" w:hAnsiTheme="minorHAnsi"/>
          <w:b/>
          <w:sz w:val="20"/>
        </w:rPr>
        <w:t>CONSOLIDATED STATEMENTS OF FINANCIAL CONDITION</w:t>
      </w:r>
    </w:p>
    <w:p w14:paraId="60DC9981" w14:textId="77777777" w:rsidR="00E57EC0" w:rsidRDefault="00E57EC0" w:rsidP="002E3B34">
      <w:pPr>
        <w:keepNext/>
        <w:spacing w:line="259" w:lineRule="auto"/>
        <w:rPr>
          <w:rFonts w:asciiTheme="minorHAnsi" w:hAnsiTheme="minorHAnsi"/>
        </w:rPr>
      </w:pPr>
    </w:p>
    <w:p w14:paraId="71253F26" w14:textId="19C80F32" w:rsidR="00EC4838" w:rsidRDefault="00EC4838" w:rsidP="00E57EC0">
      <w:pPr>
        <w:spacing w:line="259" w:lineRule="auto"/>
        <w:rPr>
          <w:rFonts w:asciiTheme="minorHAnsi" w:hAnsiTheme="minorHAnsi"/>
        </w:rPr>
      </w:pPr>
    </w:p>
    <w:sdt>
      <w:sdtPr>
        <w:alias w:val="AL-FS_Financial_Condition - BSBK_Workbook"/>
        <w:tag w:val="1461532a-3023-40a8-89ae-0e5e8d0cda2c"/>
        <w:id w:val="-665942620"/>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233"/>
            <w:gridCol w:w="172"/>
            <w:gridCol w:w="117"/>
            <w:gridCol w:w="1388"/>
            <w:gridCol w:w="105"/>
            <w:gridCol w:w="173"/>
            <w:gridCol w:w="117"/>
            <w:gridCol w:w="1389"/>
            <w:gridCol w:w="106"/>
          </w:tblGrid>
          <w:tr w:rsidR="00675FD1" w14:paraId="25609D68" w14:textId="77777777">
            <w:trPr>
              <w:cantSplit/>
              <w:jc w:val="center"/>
            </w:trPr>
            <w:tc>
              <w:tcPr>
                <w:tcW w:w="3349" w:type="pct"/>
                <w:shd w:val="clear" w:color="auto" w:fill="FFFFFF"/>
                <w:tcMar>
                  <w:top w:w="15" w:type="dxa"/>
                  <w:left w:w="0" w:type="dxa"/>
                  <w:bottom w:w="0" w:type="dxa"/>
                  <w:right w:w="15" w:type="dxa"/>
                </w:tcMar>
                <w:vAlign w:val="bottom"/>
              </w:tcPr>
              <w:p w14:paraId="64A69C56" w14:textId="6211C1BA" w:rsidR="00675FD1" w:rsidRDefault="00675FD1" w:rsidP="00C667E2">
                <w:pPr>
                  <w:keepNext/>
                  <w:jc w:val="center"/>
                  <w:rPr>
                    <w:rFonts w:ascii="Calibri"/>
                    <w:b/>
                    <w:color w:val="000000"/>
                    <w:sz w:val="16"/>
                  </w:rPr>
                </w:pPr>
                <w:r>
                  <w:t xml:space="preserve"> </w:t>
                </w:r>
                <w:r>
                  <w:rPr>
                    <w:rFonts w:ascii="Calibri"/>
                    <w:b/>
                    <w:color w:val="000000"/>
                    <w:sz w:val="16"/>
                  </w:rPr>
                  <w:t xml:space="preserve"> </w:t>
                </w:r>
              </w:p>
            </w:tc>
            <w:tc>
              <w:tcPr>
                <w:tcW w:w="81" w:type="pct"/>
                <w:shd w:val="clear" w:color="auto" w:fill="FFFFFF"/>
                <w:tcMar>
                  <w:top w:w="15" w:type="dxa"/>
                  <w:left w:w="0" w:type="dxa"/>
                  <w:bottom w:w="0" w:type="dxa"/>
                  <w:right w:w="15" w:type="dxa"/>
                </w:tcMar>
                <w:vAlign w:val="bottom"/>
              </w:tcPr>
              <w:p w14:paraId="66C88926" w14:textId="77777777" w:rsidR="00675FD1" w:rsidRDefault="00675FD1" w:rsidP="00C667E2">
                <w:pPr>
                  <w:rPr>
                    <w:rFonts w:ascii="Calibri"/>
                    <w:b/>
                    <w:color w:val="000000"/>
                    <w:sz w:val="16"/>
                  </w:rPr>
                </w:pPr>
                <w:r>
                  <w:rPr>
                    <w:rFonts w:ascii="Calibri"/>
                    <w:b/>
                    <w:color w:val="000000"/>
                    <w:sz w:val="16"/>
                  </w:rPr>
                  <w:t xml:space="preserve"> </w:t>
                </w:r>
              </w:p>
            </w:tc>
            <w:tc>
              <w:tcPr>
                <w:tcW w:w="694" w:type="pct"/>
                <w:gridSpan w:val="2"/>
                <w:tcBorders>
                  <w:bottom w:val="single" w:sz="2" w:space="0" w:color="000000"/>
                </w:tcBorders>
                <w:shd w:val="clear" w:color="auto" w:fill="FFFFFF"/>
                <w:tcMar>
                  <w:top w:w="15" w:type="dxa"/>
                  <w:left w:w="0" w:type="dxa"/>
                  <w:bottom w:w="0" w:type="dxa"/>
                  <w:right w:w="15" w:type="dxa"/>
                </w:tcMar>
                <w:vAlign w:val="bottom"/>
              </w:tcPr>
              <w:p w14:paraId="364264F3" w14:textId="77777777" w:rsidR="00675FD1" w:rsidRDefault="00675FD1" w:rsidP="00C667E2">
                <w:pPr>
                  <w:jc w:val="center"/>
                  <w:rPr>
                    <w:rFonts w:ascii="Calibri"/>
                    <w:b/>
                    <w:color w:val="000000"/>
                    <w:sz w:val="16"/>
                  </w:rPr>
                </w:pPr>
                <w:r>
                  <w:rPr>
                    <w:rFonts w:ascii="Calibri"/>
                    <w:b/>
                    <w:color w:val="000000"/>
                    <w:sz w:val="16"/>
                  </w:rPr>
                  <w:t>September</w:t>
                </w:r>
                <w:r>
                  <w:rPr>
                    <w:rFonts w:ascii="Calibri"/>
                    <w:b/>
                    <w:color w:val="000000"/>
                    <w:sz w:val="16"/>
                  </w:rPr>
                  <w:t> </w:t>
                </w:r>
                <w:r>
                  <w:rPr>
                    <w:rFonts w:ascii="Calibri"/>
                    <w:b/>
                    <w:color w:val="000000"/>
                    <w:sz w:val="16"/>
                  </w:rPr>
                  <w:t>30, 2020</w:t>
                </w:r>
              </w:p>
            </w:tc>
            <w:tc>
              <w:tcPr>
                <w:tcW w:w="50" w:type="pct"/>
                <w:shd w:val="clear" w:color="auto" w:fill="FFFFFF"/>
                <w:noWrap/>
                <w:tcMar>
                  <w:top w:w="15" w:type="dxa"/>
                  <w:left w:w="0" w:type="dxa"/>
                  <w:bottom w:w="0" w:type="dxa"/>
                  <w:right w:w="15" w:type="dxa"/>
                </w:tcMar>
                <w:vAlign w:val="bottom"/>
              </w:tcPr>
              <w:p w14:paraId="2C279891" w14:textId="77777777" w:rsidR="00675FD1" w:rsidRDefault="00675FD1" w:rsidP="00C667E2">
                <w:pPr>
                  <w:rPr>
                    <w:rFonts w:ascii="Calibri"/>
                    <w:b/>
                    <w:color w:val="000000"/>
                    <w:sz w:val="16"/>
                  </w:rPr>
                </w:pPr>
                <w:r>
                  <w:rPr>
                    <w:rFonts w:ascii="Calibri"/>
                    <w:b/>
                    <w:color w:val="000000"/>
                    <w:sz w:val="16"/>
                  </w:rPr>
                  <w:t xml:space="preserve"> </w:t>
                </w:r>
              </w:p>
            </w:tc>
            <w:tc>
              <w:tcPr>
                <w:tcW w:w="81" w:type="pct"/>
                <w:shd w:val="clear" w:color="auto" w:fill="FFFFFF"/>
                <w:tcMar>
                  <w:top w:w="15" w:type="dxa"/>
                  <w:left w:w="0" w:type="dxa"/>
                  <w:bottom w:w="0" w:type="dxa"/>
                  <w:right w:w="15" w:type="dxa"/>
                </w:tcMar>
                <w:vAlign w:val="bottom"/>
              </w:tcPr>
              <w:p w14:paraId="0614C7CC" w14:textId="77777777" w:rsidR="00675FD1" w:rsidRDefault="00675FD1" w:rsidP="00C667E2">
                <w:pPr>
                  <w:rPr>
                    <w:rFonts w:ascii="Calibri"/>
                    <w:b/>
                    <w:color w:val="000000"/>
                    <w:sz w:val="16"/>
                  </w:rPr>
                </w:pPr>
                <w:r>
                  <w:rPr>
                    <w:rFonts w:ascii="Calibri"/>
                    <w:b/>
                    <w:color w:val="000000"/>
                    <w:sz w:val="16"/>
                  </w:rPr>
                  <w:t xml:space="preserve"> </w:t>
                </w:r>
              </w:p>
            </w:tc>
            <w:tc>
              <w:tcPr>
                <w:tcW w:w="694" w:type="pct"/>
                <w:gridSpan w:val="2"/>
                <w:tcBorders>
                  <w:bottom w:val="single" w:sz="2" w:space="0" w:color="000000"/>
                </w:tcBorders>
                <w:shd w:val="clear" w:color="auto" w:fill="FFFFFF"/>
                <w:tcMar>
                  <w:top w:w="15" w:type="dxa"/>
                  <w:left w:w="0" w:type="dxa"/>
                  <w:bottom w:w="0" w:type="dxa"/>
                  <w:right w:w="15" w:type="dxa"/>
                </w:tcMar>
                <w:vAlign w:val="bottom"/>
              </w:tcPr>
              <w:p w14:paraId="66419DC5" w14:textId="77777777" w:rsidR="00675FD1" w:rsidRDefault="00675FD1" w:rsidP="00C667E2">
                <w:pPr>
                  <w:jc w:val="center"/>
                  <w:rPr>
                    <w:rFonts w:ascii="Calibri"/>
                    <w:b/>
                    <w:color w:val="000000"/>
                    <w:sz w:val="16"/>
                  </w:rPr>
                </w:pPr>
                <w:r>
                  <w:rPr>
                    <w:rFonts w:ascii="Calibri"/>
                    <w:b/>
                    <w:color w:val="000000"/>
                    <w:sz w:val="16"/>
                  </w:rPr>
                  <w:t>December</w:t>
                </w:r>
                <w:r>
                  <w:rPr>
                    <w:rFonts w:ascii="Calibri"/>
                    <w:b/>
                    <w:color w:val="000000"/>
                    <w:sz w:val="16"/>
                  </w:rPr>
                  <w:t> </w:t>
                </w:r>
                <w:r>
                  <w:rPr>
                    <w:rFonts w:ascii="Calibri"/>
                    <w:b/>
                    <w:color w:val="000000"/>
                    <w:sz w:val="16"/>
                  </w:rPr>
                  <w:t>31, 2019</w:t>
                </w:r>
              </w:p>
            </w:tc>
            <w:tc>
              <w:tcPr>
                <w:tcW w:w="50" w:type="pct"/>
                <w:shd w:val="clear" w:color="auto" w:fill="FFFFFF"/>
                <w:noWrap/>
                <w:tcMar>
                  <w:top w:w="15" w:type="dxa"/>
                  <w:left w:w="0" w:type="dxa"/>
                  <w:bottom w:w="0" w:type="dxa"/>
                  <w:right w:w="15" w:type="dxa"/>
                </w:tcMar>
                <w:vAlign w:val="bottom"/>
              </w:tcPr>
              <w:p w14:paraId="7E4E8566" w14:textId="77777777" w:rsidR="00675FD1" w:rsidRDefault="00675FD1" w:rsidP="00C667E2">
                <w:pPr>
                  <w:rPr>
                    <w:rFonts w:ascii="Calibri"/>
                    <w:b/>
                    <w:color w:val="000000"/>
                    <w:sz w:val="16"/>
                  </w:rPr>
                </w:pPr>
                <w:r>
                  <w:rPr>
                    <w:rFonts w:ascii="Calibri"/>
                    <w:b/>
                    <w:color w:val="000000"/>
                    <w:sz w:val="16"/>
                  </w:rPr>
                  <w:t xml:space="preserve"> </w:t>
                </w:r>
              </w:p>
            </w:tc>
          </w:tr>
          <w:tr w:rsidR="00675FD1" w14:paraId="37340B68" w14:textId="77777777">
            <w:trPr>
              <w:cantSplit/>
              <w:jc w:val="center"/>
            </w:trPr>
            <w:tc>
              <w:tcPr>
                <w:tcW w:w="3349" w:type="pct"/>
                <w:shd w:val="clear" w:color="auto" w:fill="CFF0FC"/>
                <w:tcMar>
                  <w:top w:w="15" w:type="dxa"/>
                  <w:left w:w="0" w:type="dxa"/>
                  <w:bottom w:w="0" w:type="dxa"/>
                  <w:right w:w="15" w:type="dxa"/>
                </w:tcMar>
              </w:tcPr>
              <w:p w14:paraId="7270E686" w14:textId="77777777" w:rsidR="00675FD1" w:rsidRDefault="00675FD1" w:rsidP="00C667E2">
                <w:pPr>
                  <w:keepNext/>
                  <w:jc w:val="center"/>
                  <w:rPr>
                    <w:rFonts w:ascii="Calibri"/>
                    <w:b/>
                    <w:color w:val="000000"/>
                    <w:sz w:val="20"/>
                  </w:rPr>
                </w:pPr>
                <w:r>
                  <w:rPr>
                    <w:rFonts w:ascii="Calibri"/>
                    <w:b/>
                    <w:color w:val="000000"/>
                    <w:sz w:val="20"/>
                  </w:rPr>
                  <w:t>Assets</w:t>
                </w:r>
              </w:p>
            </w:tc>
            <w:tc>
              <w:tcPr>
                <w:tcW w:w="81" w:type="pct"/>
                <w:shd w:val="clear" w:color="auto" w:fill="CFF0FC"/>
                <w:tcMar>
                  <w:top w:w="15" w:type="dxa"/>
                  <w:left w:w="0" w:type="dxa"/>
                  <w:bottom w:w="0" w:type="dxa"/>
                  <w:right w:w="15" w:type="dxa"/>
                </w:tcMar>
                <w:vAlign w:val="bottom"/>
              </w:tcPr>
              <w:p w14:paraId="70489FA8" w14:textId="77777777" w:rsidR="00675FD1" w:rsidRDefault="00675FD1" w:rsidP="00C667E2">
                <w:pPr>
                  <w:rPr>
                    <w:rFonts w:ascii="Calibri"/>
                    <w:b/>
                    <w:color w:val="000000"/>
                    <w:sz w:val="20"/>
                  </w:rPr>
                </w:pPr>
                <w:r>
                  <w:rPr>
                    <w:rFonts w:ascii="Calibri"/>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D21EF56"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09E78119" w14:textId="77777777" w:rsidR="00675FD1" w:rsidRDefault="00675FD1" w:rsidP="00C667E2">
                <w:pPr>
                  <w:jc w:val="cente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150612B"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53AC743B" w14:textId="77777777" w:rsidR="00675FD1" w:rsidRDefault="00675FD1" w:rsidP="00C667E2">
                <w:pPr>
                  <w:jc w:val="cente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9F3CB76"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38D1210B" w14:textId="77777777" w:rsidR="00675FD1" w:rsidRDefault="00675FD1" w:rsidP="00C667E2">
                <w:pPr>
                  <w:jc w:val="cente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9ED7F28" w14:textId="77777777" w:rsidR="00675FD1" w:rsidRDefault="00675FD1" w:rsidP="00C667E2">
                <w:pPr>
                  <w:rPr>
                    <w:rFonts w:ascii="Calibri"/>
                    <w:color w:val="000000"/>
                    <w:sz w:val="20"/>
                  </w:rPr>
                </w:pPr>
                <w:r>
                  <w:rPr>
                    <w:rFonts w:ascii="Calibri"/>
                    <w:color w:val="000000"/>
                    <w:sz w:val="20"/>
                  </w:rPr>
                  <w:t xml:space="preserve"> </w:t>
                </w:r>
              </w:p>
            </w:tc>
          </w:tr>
          <w:tr w:rsidR="00675FD1" w14:paraId="7D9485C8" w14:textId="77777777">
            <w:trPr>
              <w:cantSplit/>
              <w:jc w:val="center"/>
            </w:trPr>
            <w:tc>
              <w:tcPr>
                <w:tcW w:w="3349" w:type="pct"/>
                <w:shd w:val="clear" w:color="auto" w:fill="FFFFFF"/>
                <w:tcMar>
                  <w:top w:w="15" w:type="dxa"/>
                  <w:left w:w="0" w:type="dxa"/>
                  <w:bottom w:w="0" w:type="dxa"/>
                  <w:right w:w="15" w:type="dxa"/>
                </w:tcMar>
              </w:tcPr>
              <w:p w14:paraId="62A66182" w14:textId="77777777" w:rsidR="00675FD1" w:rsidRDefault="00675FD1" w:rsidP="00C667E2">
                <w:pPr>
                  <w:keepNext/>
                  <w:rPr>
                    <w:rFonts w:ascii="Calibri"/>
                    <w:color w:val="000000"/>
                    <w:sz w:val="20"/>
                  </w:rPr>
                </w:pPr>
                <w:r>
                  <w:rPr>
                    <w:rFonts w:ascii="Calibri"/>
                    <w:color w:val="000000"/>
                    <w:sz w:val="20"/>
                  </w:rPr>
                  <w:t>Cash and due from banks</w:t>
                </w:r>
              </w:p>
            </w:tc>
            <w:tc>
              <w:tcPr>
                <w:tcW w:w="81" w:type="pct"/>
                <w:shd w:val="clear" w:color="auto" w:fill="FFFFFF"/>
                <w:tcMar>
                  <w:top w:w="15" w:type="dxa"/>
                  <w:left w:w="0" w:type="dxa"/>
                  <w:bottom w:w="0" w:type="dxa"/>
                  <w:right w:w="15" w:type="dxa"/>
                </w:tcMar>
                <w:vAlign w:val="bottom"/>
              </w:tcPr>
              <w:p w14:paraId="23F79211"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BAB67D8" w14:textId="77777777" w:rsidR="00675FD1" w:rsidRDefault="00675FD1" w:rsidP="00C667E2">
                <w:pPr>
                  <w:rPr>
                    <w:rFonts w:ascii="Calibri"/>
                    <w:color w:val="000000"/>
                    <w:sz w:val="20"/>
                  </w:rPr>
                </w:pPr>
                <w:r>
                  <w:rPr>
                    <w:rFonts w:ascii="Calibri"/>
                    <w:color w:val="000000"/>
                    <w:sz w:val="20"/>
                  </w:rPr>
                  <w:t>$</w:t>
                </w:r>
              </w:p>
            </w:tc>
            <w:tc>
              <w:tcPr>
                <w:tcW w:w="644" w:type="pct"/>
                <w:shd w:val="clear" w:color="auto" w:fill="FFFFFF"/>
                <w:noWrap/>
                <w:tcMar>
                  <w:top w:w="15" w:type="dxa"/>
                  <w:left w:w="0" w:type="dxa"/>
                  <w:bottom w:w="0" w:type="dxa"/>
                  <w:right w:w="15" w:type="dxa"/>
                </w:tcMar>
                <w:vAlign w:val="bottom"/>
              </w:tcPr>
              <w:p w14:paraId="29BBC939" w14:textId="77777777" w:rsidR="00675FD1" w:rsidRDefault="00675FD1" w:rsidP="00C667E2">
                <w:pPr>
                  <w:jc w:val="right"/>
                  <w:rPr>
                    <w:rFonts w:ascii="Calibri"/>
                    <w:color w:val="000000"/>
                    <w:sz w:val="20"/>
                  </w:rPr>
                </w:pPr>
                <w:r>
                  <w:rPr>
                    <w:rFonts w:ascii="Calibri"/>
                    <w:color w:val="000000"/>
                    <w:sz w:val="20"/>
                  </w:rPr>
                  <w:t>6,206,405</w:t>
                </w:r>
              </w:p>
            </w:tc>
            <w:tc>
              <w:tcPr>
                <w:tcW w:w="50" w:type="pct"/>
                <w:shd w:val="clear" w:color="auto" w:fill="FFFFFF"/>
                <w:noWrap/>
                <w:tcMar>
                  <w:top w:w="15" w:type="dxa"/>
                  <w:left w:w="0" w:type="dxa"/>
                  <w:bottom w:w="0" w:type="dxa"/>
                  <w:right w:w="15" w:type="dxa"/>
                </w:tcMar>
                <w:vAlign w:val="bottom"/>
              </w:tcPr>
              <w:p w14:paraId="24235E02"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7BDA4572"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FA714A1" w14:textId="77777777" w:rsidR="00675FD1" w:rsidRDefault="00675FD1" w:rsidP="00C667E2">
                <w:pPr>
                  <w:rPr>
                    <w:rFonts w:ascii="Calibri"/>
                    <w:color w:val="000000"/>
                    <w:sz w:val="20"/>
                  </w:rPr>
                </w:pPr>
                <w:r>
                  <w:rPr>
                    <w:rFonts w:ascii="Calibri"/>
                    <w:color w:val="000000"/>
                    <w:sz w:val="20"/>
                  </w:rPr>
                  <w:t>$</w:t>
                </w:r>
              </w:p>
            </w:tc>
            <w:tc>
              <w:tcPr>
                <w:tcW w:w="644" w:type="pct"/>
                <w:shd w:val="clear" w:color="auto" w:fill="FFFFFF"/>
                <w:noWrap/>
                <w:tcMar>
                  <w:top w:w="15" w:type="dxa"/>
                  <w:left w:w="0" w:type="dxa"/>
                  <w:bottom w:w="0" w:type="dxa"/>
                  <w:right w:w="15" w:type="dxa"/>
                </w:tcMar>
                <w:vAlign w:val="bottom"/>
              </w:tcPr>
              <w:p w14:paraId="47CF6C2F" w14:textId="77777777" w:rsidR="00675FD1" w:rsidRDefault="00675FD1" w:rsidP="00C667E2">
                <w:pPr>
                  <w:jc w:val="right"/>
                  <w:rPr>
                    <w:rFonts w:ascii="Calibri"/>
                    <w:color w:val="000000"/>
                    <w:sz w:val="20"/>
                  </w:rPr>
                </w:pPr>
                <w:r>
                  <w:rPr>
                    <w:rFonts w:ascii="Calibri"/>
                    <w:color w:val="000000"/>
                    <w:sz w:val="20"/>
                  </w:rPr>
                  <w:t>5,176,241</w:t>
                </w:r>
              </w:p>
            </w:tc>
            <w:tc>
              <w:tcPr>
                <w:tcW w:w="50" w:type="pct"/>
                <w:shd w:val="clear" w:color="auto" w:fill="FFFFFF"/>
                <w:noWrap/>
                <w:tcMar>
                  <w:top w:w="15" w:type="dxa"/>
                  <w:left w:w="0" w:type="dxa"/>
                  <w:bottom w:w="0" w:type="dxa"/>
                  <w:right w:w="15" w:type="dxa"/>
                </w:tcMar>
                <w:vAlign w:val="bottom"/>
              </w:tcPr>
              <w:p w14:paraId="7B761F1D" w14:textId="77777777" w:rsidR="00675FD1" w:rsidRDefault="00675FD1" w:rsidP="00C667E2">
                <w:pPr>
                  <w:rPr>
                    <w:rFonts w:ascii="Calibri"/>
                    <w:color w:val="000000"/>
                    <w:sz w:val="20"/>
                  </w:rPr>
                </w:pPr>
                <w:r>
                  <w:rPr>
                    <w:rFonts w:ascii="Calibri"/>
                    <w:color w:val="000000"/>
                    <w:sz w:val="20"/>
                  </w:rPr>
                  <w:t xml:space="preserve"> </w:t>
                </w:r>
              </w:p>
            </w:tc>
          </w:tr>
          <w:tr w:rsidR="00675FD1" w14:paraId="6082E5F5" w14:textId="77777777">
            <w:trPr>
              <w:cantSplit/>
              <w:jc w:val="center"/>
            </w:trPr>
            <w:tc>
              <w:tcPr>
                <w:tcW w:w="3349" w:type="pct"/>
                <w:shd w:val="clear" w:color="auto" w:fill="CFF0FC"/>
                <w:tcMar>
                  <w:top w:w="15" w:type="dxa"/>
                  <w:left w:w="0" w:type="dxa"/>
                  <w:bottom w:w="0" w:type="dxa"/>
                  <w:right w:w="15" w:type="dxa"/>
                </w:tcMar>
              </w:tcPr>
              <w:p w14:paraId="45DD3960" w14:textId="77777777" w:rsidR="00675FD1" w:rsidRDefault="00675FD1" w:rsidP="00C667E2">
                <w:pPr>
                  <w:keepNext/>
                  <w:rPr>
                    <w:rFonts w:ascii="Calibri"/>
                    <w:color w:val="000000"/>
                    <w:sz w:val="20"/>
                  </w:rPr>
                </w:pPr>
                <w:r>
                  <w:rPr>
                    <w:rFonts w:ascii="Calibri"/>
                    <w:color w:val="000000"/>
                    <w:sz w:val="20"/>
                  </w:rPr>
                  <w:t>Interest-bearing deposits in other banks</w:t>
                </w:r>
              </w:p>
            </w:tc>
            <w:tc>
              <w:tcPr>
                <w:tcW w:w="81" w:type="pct"/>
                <w:shd w:val="clear" w:color="auto" w:fill="CFF0FC"/>
                <w:tcMar>
                  <w:top w:w="15" w:type="dxa"/>
                  <w:left w:w="0" w:type="dxa"/>
                  <w:bottom w:w="0" w:type="dxa"/>
                  <w:right w:w="15" w:type="dxa"/>
                </w:tcMar>
                <w:vAlign w:val="bottom"/>
              </w:tcPr>
              <w:p w14:paraId="52EEEB1F"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2BED689"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5E390A2D" w14:textId="77777777" w:rsidR="00675FD1" w:rsidRDefault="00675FD1" w:rsidP="00C667E2">
                <w:pPr>
                  <w:jc w:val="right"/>
                  <w:rPr>
                    <w:rFonts w:ascii="Calibri"/>
                    <w:color w:val="000000"/>
                    <w:sz w:val="20"/>
                  </w:rPr>
                </w:pPr>
                <w:r>
                  <w:rPr>
                    <w:rFonts w:ascii="Calibri"/>
                    <w:color w:val="000000"/>
                    <w:sz w:val="20"/>
                  </w:rPr>
                  <w:t>65,205,827</w:t>
                </w:r>
              </w:p>
            </w:tc>
            <w:tc>
              <w:tcPr>
                <w:tcW w:w="50" w:type="pct"/>
                <w:shd w:val="clear" w:color="auto" w:fill="CFF0FC"/>
                <w:noWrap/>
                <w:tcMar>
                  <w:top w:w="15" w:type="dxa"/>
                  <w:left w:w="0" w:type="dxa"/>
                  <w:bottom w:w="0" w:type="dxa"/>
                  <w:right w:w="15" w:type="dxa"/>
                </w:tcMar>
                <w:vAlign w:val="bottom"/>
              </w:tcPr>
              <w:p w14:paraId="4D485A55"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6BBE3DA0"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C4F1FA7"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027E45AE" w14:textId="77777777" w:rsidR="00675FD1" w:rsidRDefault="00675FD1" w:rsidP="00C667E2">
                <w:pPr>
                  <w:jc w:val="right"/>
                  <w:rPr>
                    <w:rFonts w:ascii="Calibri"/>
                    <w:color w:val="000000"/>
                    <w:sz w:val="20"/>
                  </w:rPr>
                </w:pPr>
                <w:r>
                  <w:rPr>
                    <w:rFonts w:ascii="Calibri"/>
                    <w:color w:val="000000"/>
                    <w:sz w:val="20"/>
                  </w:rPr>
                  <w:t>122,686,318</w:t>
                </w:r>
              </w:p>
            </w:tc>
            <w:tc>
              <w:tcPr>
                <w:tcW w:w="50" w:type="pct"/>
                <w:shd w:val="clear" w:color="auto" w:fill="CFF0FC"/>
                <w:noWrap/>
                <w:tcMar>
                  <w:top w:w="15" w:type="dxa"/>
                  <w:left w:w="0" w:type="dxa"/>
                  <w:bottom w:w="0" w:type="dxa"/>
                  <w:right w:w="15" w:type="dxa"/>
                </w:tcMar>
                <w:vAlign w:val="bottom"/>
              </w:tcPr>
              <w:p w14:paraId="4143C900" w14:textId="77777777" w:rsidR="00675FD1" w:rsidRDefault="00675FD1" w:rsidP="00C667E2">
                <w:pPr>
                  <w:rPr>
                    <w:rFonts w:ascii="Calibri"/>
                    <w:color w:val="000000"/>
                    <w:sz w:val="20"/>
                  </w:rPr>
                </w:pPr>
                <w:r>
                  <w:rPr>
                    <w:rFonts w:ascii="Calibri"/>
                    <w:color w:val="000000"/>
                    <w:sz w:val="20"/>
                  </w:rPr>
                  <w:t xml:space="preserve"> </w:t>
                </w:r>
              </w:p>
            </w:tc>
          </w:tr>
          <w:tr w:rsidR="00675FD1" w14:paraId="3925E36D" w14:textId="77777777">
            <w:trPr>
              <w:cantSplit/>
              <w:jc w:val="center"/>
            </w:trPr>
            <w:tc>
              <w:tcPr>
                <w:tcW w:w="3349" w:type="pct"/>
                <w:shd w:val="clear" w:color="auto" w:fill="FFFFFF"/>
                <w:tcMar>
                  <w:top w:w="15" w:type="dxa"/>
                  <w:left w:w="0" w:type="dxa"/>
                  <w:bottom w:w="0" w:type="dxa"/>
                  <w:right w:w="15" w:type="dxa"/>
                </w:tcMar>
              </w:tcPr>
              <w:p w14:paraId="18BCDA7F" w14:textId="77777777" w:rsidR="00675FD1" w:rsidRDefault="00675FD1" w:rsidP="00C667E2">
                <w:pPr>
                  <w:keepNext/>
                  <w:ind w:left="274"/>
                  <w:rPr>
                    <w:rFonts w:ascii="Calibri"/>
                    <w:color w:val="000000"/>
                    <w:sz w:val="20"/>
                  </w:rPr>
                </w:pPr>
                <w:r>
                  <w:rPr>
                    <w:rFonts w:ascii="Calibri"/>
                    <w:color w:val="000000"/>
                    <w:sz w:val="20"/>
                  </w:rPr>
                  <w:t>Cash and cash equivalents</w:t>
                </w:r>
              </w:p>
            </w:tc>
            <w:tc>
              <w:tcPr>
                <w:tcW w:w="81" w:type="pct"/>
                <w:shd w:val="clear" w:color="auto" w:fill="FFFFFF"/>
                <w:tcMar>
                  <w:top w:w="15" w:type="dxa"/>
                  <w:left w:w="0" w:type="dxa"/>
                  <w:bottom w:w="0" w:type="dxa"/>
                  <w:right w:w="15" w:type="dxa"/>
                </w:tcMar>
                <w:vAlign w:val="bottom"/>
              </w:tcPr>
              <w:p w14:paraId="20170298"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DCB4D7F"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6B68D787" w14:textId="77777777" w:rsidR="00675FD1" w:rsidRDefault="00675FD1" w:rsidP="00C667E2">
                <w:pPr>
                  <w:jc w:val="right"/>
                  <w:rPr>
                    <w:rFonts w:ascii="Calibri"/>
                    <w:color w:val="000000"/>
                    <w:sz w:val="20"/>
                  </w:rPr>
                </w:pPr>
                <w:r>
                  <w:rPr>
                    <w:rFonts w:ascii="Calibri"/>
                    <w:color w:val="000000"/>
                    <w:sz w:val="20"/>
                  </w:rPr>
                  <w:t>71,412,232</w:t>
                </w:r>
              </w:p>
            </w:tc>
            <w:tc>
              <w:tcPr>
                <w:tcW w:w="50" w:type="pct"/>
                <w:shd w:val="clear" w:color="auto" w:fill="FFFFFF"/>
                <w:noWrap/>
                <w:tcMar>
                  <w:top w:w="15" w:type="dxa"/>
                  <w:left w:w="0" w:type="dxa"/>
                  <w:bottom w:w="0" w:type="dxa"/>
                  <w:right w:w="15" w:type="dxa"/>
                </w:tcMar>
                <w:vAlign w:val="bottom"/>
              </w:tcPr>
              <w:p w14:paraId="30214071"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06B20632"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6A46927"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1C62F7D4" w14:textId="77777777" w:rsidR="00675FD1" w:rsidRDefault="00675FD1" w:rsidP="00C667E2">
                <w:pPr>
                  <w:jc w:val="right"/>
                  <w:rPr>
                    <w:rFonts w:ascii="Calibri"/>
                    <w:color w:val="000000"/>
                    <w:sz w:val="20"/>
                  </w:rPr>
                </w:pPr>
                <w:r>
                  <w:rPr>
                    <w:rFonts w:ascii="Calibri"/>
                    <w:color w:val="000000"/>
                    <w:sz w:val="20"/>
                  </w:rPr>
                  <w:t>127,862,559</w:t>
                </w:r>
              </w:p>
            </w:tc>
            <w:tc>
              <w:tcPr>
                <w:tcW w:w="50" w:type="pct"/>
                <w:shd w:val="clear" w:color="auto" w:fill="FFFFFF"/>
                <w:noWrap/>
                <w:tcMar>
                  <w:top w:w="15" w:type="dxa"/>
                  <w:left w:w="0" w:type="dxa"/>
                  <w:bottom w:w="0" w:type="dxa"/>
                  <w:right w:w="15" w:type="dxa"/>
                </w:tcMar>
                <w:vAlign w:val="bottom"/>
              </w:tcPr>
              <w:p w14:paraId="1BCA40D5" w14:textId="77777777" w:rsidR="00675FD1" w:rsidRDefault="00675FD1" w:rsidP="00C667E2">
                <w:pPr>
                  <w:rPr>
                    <w:rFonts w:ascii="Calibri"/>
                    <w:color w:val="000000"/>
                    <w:sz w:val="20"/>
                  </w:rPr>
                </w:pPr>
                <w:r>
                  <w:rPr>
                    <w:rFonts w:ascii="Calibri"/>
                    <w:color w:val="000000"/>
                    <w:sz w:val="20"/>
                  </w:rPr>
                  <w:t xml:space="preserve"> </w:t>
                </w:r>
              </w:p>
            </w:tc>
          </w:tr>
          <w:tr w:rsidR="00675FD1" w14:paraId="072DE30A" w14:textId="77777777">
            <w:trPr>
              <w:cantSplit/>
              <w:jc w:val="center"/>
            </w:trPr>
            <w:tc>
              <w:tcPr>
                <w:tcW w:w="3349" w:type="pct"/>
                <w:shd w:val="clear" w:color="auto" w:fill="CFF0FC"/>
                <w:tcMar>
                  <w:top w:w="15" w:type="dxa"/>
                  <w:left w:w="0" w:type="dxa"/>
                  <w:bottom w:w="0" w:type="dxa"/>
                  <w:right w:w="15" w:type="dxa"/>
                </w:tcMar>
              </w:tcPr>
              <w:p w14:paraId="7D92A157" w14:textId="77777777" w:rsidR="00675FD1" w:rsidRDefault="00675FD1" w:rsidP="00C667E2">
                <w:pPr>
                  <w:keepNext/>
                  <w:rPr>
                    <w:rFonts w:ascii="Calibri"/>
                    <w:color w:val="000000"/>
                    <w:sz w:val="20"/>
                  </w:rPr>
                </w:pPr>
                <w:r>
                  <w:rPr>
                    <w:rFonts w:ascii="Calibri"/>
                    <w:color w:val="000000"/>
                    <w:sz w:val="20"/>
                  </w:rPr>
                  <w:t>Securities available for sale</w:t>
                </w:r>
              </w:p>
            </w:tc>
            <w:tc>
              <w:tcPr>
                <w:tcW w:w="81" w:type="pct"/>
                <w:shd w:val="clear" w:color="auto" w:fill="CFF0FC"/>
                <w:tcMar>
                  <w:top w:w="15" w:type="dxa"/>
                  <w:left w:w="0" w:type="dxa"/>
                  <w:bottom w:w="0" w:type="dxa"/>
                  <w:right w:w="15" w:type="dxa"/>
                </w:tcMar>
                <w:vAlign w:val="bottom"/>
              </w:tcPr>
              <w:p w14:paraId="7D447126"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5B5CA65"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6A226DD0" w14:textId="77777777" w:rsidR="00675FD1" w:rsidRDefault="00675FD1" w:rsidP="00C667E2">
                <w:pPr>
                  <w:jc w:val="right"/>
                  <w:rPr>
                    <w:rFonts w:ascii="Calibri"/>
                    <w:color w:val="000000"/>
                    <w:sz w:val="20"/>
                  </w:rPr>
                </w:pPr>
                <w:r>
                  <w:rPr>
                    <w:rFonts w:ascii="Calibri"/>
                    <w:color w:val="000000"/>
                    <w:sz w:val="20"/>
                  </w:rPr>
                  <w:t>12,277,380</w:t>
                </w:r>
              </w:p>
            </w:tc>
            <w:tc>
              <w:tcPr>
                <w:tcW w:w="50" w:type="pct"/>
                <w:shd w:val="clear" w:color="auto" w:fill="CFF0FC"/>
                <w:noWrap/>
                <w:tcMar>
                  <w:top w:w="15" w:type="dxa"/>
                  <w:left w:w="0" w:type="dxa"/>
                  <w:bottom w:w="0" w:type="dxa"/>
                  <w:right w:w="15" w:type="dxa"/>
                </w:tcMar>
                <w:vAlign w:val="bottom"/>
              </w:tcPr>
              <w:p w14:paraId="45DBBEB2"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1A2F8F5A"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D9B3D9F"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3797D301" w14:textId="77777777" w:rsidR="00675FD1" w:rsidRDefault="00675FD1" w:rsidP="00C667E2">
                <w:pPr>
                  <w:jc w:val="right"/>
                  <w:rPr>
                    <w:rFonts w:ascii="Calibri"/>
                    <w:color w:val="000000"/>
                    <w:sz w:val="20"/>
                  </w:rPr>
                </w:pPr>
                <w:r>
                  <w:rPr>
                    <w:rFonts w:ascii="Calibri"/>
                    <w:color w:val="000000"/>
                    <w:sz w:val="20"/>
                  </w:rPr>
                  <w:t>13,748,561</w:t>
                </w:r>
              </w:p>
            </w:tc>
            <w:tc>
              <w:tcPr>
                <w:tcW w:w="50" w:type="pct"/>
                <w:shd w:val="clear" w:color="auto" w:fill="CFF0FC"/>
                <w:noWrap/>
                <w:tcMar>
                  <w:top w:w="15" w:type="dxa"/>
                  <w:left w:w="0" w:type="dxa"/>
                  <w:bottom w:w="0" w:type="dxa"/>
                  <w:right w:w="15" w:type="dxa"/>
                </w:tcMar>
                <w:vAlign w:val="bottom"/>
              </w:tcPr>
              <w:p w14:paraId="5686A9D3" w14:textId="77777777" w:rsidR="00675FD1" w:rsidRDefault="00675FD1" w:rsidP="00C667E2">
                <w:pPr>
                  <w:rPr>
                    <w:rFonts w:ascii="Calibri"/>
                    <w:color w:val="000000"/>
                    <w:sz w:val="20"/>
                  </w:rPr>
                </w:pPr>
                <w:r>
                  <w:rPr>
                    <w:rFonts w:ascii="Calibri"/>
                    <w:color w:val="000000"/>
                    <w:sz w:val="20"/>
                  </w:rPr>
                  <w:t xml:space="preserve"> </w:t>
                </w:r>
              </w:p>
            </w:tc>
          </w:tr>
          <w:tr w:rsidR="00675FD1" w14:paraId="36816BA1" w14:textId="77777777">
            <w:trPr>
              <w:cantSplit/>
              <w:jc w:val="center"/>
            </w:trPr>
            <w:tc>
              <w:tcPr>
                <w:tcW w:w="3349" w:type="pct"/>
                <w:shd w:val="clear" w:color="auto" w:fill="FFFFFF"/>
                <w:tcMar>
                  <w:top w:w="15" w:type="dxa"/>
                  <w:left w:w="0" w:type="dxa"/>
                  <w:bottom w:w="0" w:type="dxa"/>
                  <w:right w:w="15" w:type="dxa"/>
                </w:tcMar>
              </w:tcPr>
              <w:p w14:paraId="066BB2E1" w14:textId="77777777" w:rsidR="00675FD1" w:rsidRDefault="00675FD1" w:rsidP="00C667E2">
                <w:pPr>
                  <w:keepNext/>
                  <w:rPr>
                    <w:rFonts w:ascii="Calibri"/>
                    <w:color w:val="000000"/>
                    <w:sz w:val="20"/>
                  </w:rPr>
                </w:pPr>
                <w:r>
                  <w:rPr>
                    <w:rFonts w:ascii="Calibri"/>
                    <w:color w:val="000000"/>
                    <w:sz w:val="20"/>
                  </w:rPr>
                  <w:t>Securities held to maturity (fair value of $55,337,097 and $56,582,299,</w:t>
                </w:r>
              </w:p>
              <w:p w14:paraId="6CBA16B6" w14:textId="77777777" w:rsidR="00675FD1" w:rsidRDefault="00675FD1" w:rsidP="00C667E2">
                <w:r>
                  <w:rPr>
                    <w:rFonts w:ascii="Calibri"/>
                    <w:color w:val="000000"/>
                    <w:sz w:val="20"/>
                  </w:rPr>
                  <w:t xml:space="preserve">   respectively)</w:t>
                </w:r>
              </w:p>
            </w:tc>
            <w:tc>
              <w:tcPr>
                <w:tcW w:w="81" w:type="pct"/>
                <w:shd w:val="clear" w:color="auto" w:fill="FFFFFF"/>
                <w:tcMar>
                  <w:top w:w="15" w:type="dxa"/>
                  <w:left w:w="0" w:type="dxa"/>
                  <w:bottom w:w="0" w:type="dxa"/>
                  <w:right w:w="15" w:type="dxa"/>
                </w:tcMar>
                <w:vAlign w:val="bottom"/>
              </w:tcPr>
              <w:p w14:paraId="3A062E11"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A221606"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28B3A179" w14:textId="77777777" w:rsidR="00675FD1" w:rsidRDefault="00675FD1" w:rsidP="00C667E2">
                <w:pPr>
                  <w:jc w:val="right"/>
                  <w:rPr>
                    <w:rFonts w:ascii="Calibri"/>
                    <w:color w:val="000000"/>
                    <w:sz w:val="20"/>
                  </w:rPr>
                </w:pPr>
                <w:r>
                  <w:rPr>
                    <w:rFonts w:ascii="Calibri"/>
                    <w:color w:val="000000"/>
                    <w:sz w:val="20"/>
                  </w:rPr>
                  <w:t>53,826,111</w:t>
                </w:r>
              </w:p>
            </w:tc>
            <w:tc>
              <w:tcPr>
                <w:tcW w:w="50" w:type="pct"/>
                <w:shd w:val="clear" w:color="auto" w:fill="FFFFFF"/>
                <w:noWrap/>
                <w:tcMar>
                  <w:top w:w="15" w:type="dxa"/>
                  <w:left w:w="0" w:type="dxa"/>
                  <w:bottom w:w="0" w:type="dxa"/>
                  <w:right w:w="15" w:type="dxa"/>
                </w:tcMar>
                <w:vAlign w:val="bottom"/>
              </w:tcPr>
              <w:p w14:paraId="0E4668C4"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3E2DD775"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FAF7C71"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0A45EC32" w14:textId="77777777" w:rsidR="00675FD1" w:rsidRDefault="00675FD1" w:rsidP="00C667E2">
                <w:pPr>
                  <w:jc w:val="right"/>
                  <w:rPr>
                    <w:rFonts w:ascii="Calibri"/>
                    <w:color w:val="000000"/>
                    <w:sz w:val="20"/>
                  </w:rPr>
                </w:pPr>
                <w:r>
                  <w:rPr>
                    <w:rFonts w:ascii="Calibri"/>
                    <w:color w:val="000000"/>
                    <w:sz w:val="20"/>
                  </w:rPr>
                  <w:t>56,093,317</w:t>
                </w:r>
              </w:p>
            </w:tc>
            <w:tc>
              <w:tcPr>
                <w:tcW w:w="50" w:type="pct"/>
                <w:shd w:val="clear" w:color="auto" w:fill="FFFFFF"/>
                <w:noWrap/>
                <w:tcMar>
                  <w:top w:w="15" w:type="dxa"/>
                  <w:left w:w="0" w:type="dxa"/>
                  <w:bottom w:w="0" w:type="dxa"/>
                  <w:right w:w="15" w:type="dxa"/>
                </w:tcMar>
                <w:vAlign w:val="bottom"/>
              </w:tcPr>
              <w:p w14:paraId="3782F86E" w14:textId="77777777" w:rsidR="00675FD1" w:rsidRDefault="00675FD1" w:rsidP="00C667E2">
                <w:pPr>
                  <w:rPr>
                    <w:rFonts w:ascii="Calibri"/>
                    <w:color w:val="000000"/>
                    <w:sz w:val="20"/>
                  </w:rPr>
                </w:pPr>
                <w:r>
                  <w:rPr>
                    <w:rFonts w:ascii="Calibri"/>
                    <w:color w:val="000000"/>
                    <w:sz w:val="20"/>
                  </w:rPr>
                  <w:t xml:space="preserve"> </w:t>
                </w:r>
              </w:p>
            </w:tc>
          </w:tr>
          <w:tr w:rsidR="00675FD1" w14:paraId="5EDF957B" w14:textId="77777777">
            <w:trPr>
              <w:cantSplit/>
              <w:jc w:val="center"/>
            </w:trPr>
            <w:tc>
              <w:tcPr>
                <w:tcW w:w="3349" w:type="pct"/>
                <w:shd w:val="clear" w:color="auto" w:fill="CFF0FC"/>
                <w:tcMar>
                  <w:top w:w="15" w:type="dxa"/>
                  <w:left w:w="0" w:type="dxa"/>
                  <w:bottom w:w="0" w:type="dxa"/>
                  <w:right w:w="15" w:type="dxa"/>
                </w:tcMar>
              </w:tcPr>
              <w:p w14:paraId="1E0AC6E6" w14:textId="77777777" w:rsidR="00675FD1" w:rsidRDefault="00675FD1" w:rsidP="00C667E2">
                <w:pPr>
                  <w:keepNext/>
                  <w:rPr>
                    <w:rFonts w:ascii="Calibri"/>
                    <w:color w:val="000000"/>
                    <w:sz w:val="20"/>
                  </w:rPr>
                </w:pPr>
                <w:r>
                  <w:rPr>
                    <w:rFonts w:ascii="Calibri"/>
                    <w:color w:val="000000"/>
                    <w:sz w:val="20"/>
                  </w:rPr>
                  <w:t>Loans, net of allowance of $2,316,174 and $2,016,174, respectively</w:t>
                </w:r>
              </w:p>
            </w:tc>
            <w:tc>
              <w:tcPr>
                <w:tcW w:w="81" w:type="pct"/>
                <w:shd w:val="clear" w:color="auto" w:fill="CFF0FC"/>
                <w:tcMar>
                  <w:top w:w="15" w:type="dxa"/>
                  <w:left w:w="0" w:type="dxa"/>
                  <w:bottom w:w="0" w:type="dxa"/>
                  <w:right w:w="15" w:type="dxa"/>
                </w:tcMar>
                <w:vAlign w:val="bottom"/>
              </w:tcPr>
              <w:p w14:paraId="1E7D1D01"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0CE72B9"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4B14085C" w14:textId="77777777" w:rsidR="00675FD1" w:rsidRDefault="00675FD1" w:rsidP="00C667E2">
                <w:pPr>
                  <w:jc w:val="right"/>
                  <w:rPr>
                    <w:rFonts w:ascii="Calibri"/>
                    <w:color w:val="000000"/>
                    <w:sz w:val="20"/>
                  </w:rPr>
                </w:pPr>
                <w:r>
                  <w:rPr>
                    <w:rFonts w:ascii="Calibri"/>
                    <w:color w:val="000000"/>
                    <w:sz w:val="20"/>
                  </w:rPr>
                  <w:t>583,815,965</w:t>
                </w:r>
              </w:p>
            </w:tc>
            <w:tc>
              <w:tcPr>
                <w:tcW w:w="50" w:type="pct"/>
                <w:shd w:val="clear" w:color="auto" w:fill="CFF0FC"/>
                <w:noWrap/>
                <w:tcMar>
                  <w:top w:w="15" w:type="dxa"/>
                  <w:left w:w="0" w:type="dxa"/>
                  <w:bottom w:w="0" w:type="dxa"/>
                  <w:right w:w="15" w:type="dxa"/>
                </w:tcMar>
                <w:vAlign w:val="bottom"/>
              </w:tcPr>
              <w:p w14:paraId="5A919380"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1DD48CCA"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E29DB73"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26D4C237" w14:textId="77777777" w:rsidR="00675FD1" w:rsidRDefault="00675FD1" w:rsidP="00C667E2">
                <w:pPr>
                  <w:jc w:val="right"/>
                  <w:rPr>
                    <w:rFonts w:ascii="Calibri"/>
                    <w:color w:val="000000"/>
                    <w:sz w:val="20"/>
                  </w:rPr>
                </w:pPr>
                <w:r>
                  <w:rPr>
                    <w:rFonts w:ascii="Calibri"/>
                    <w:color w:val="000000"/>
                    <w:sz w:val="20"/>
                  </w:rPr>
                  <w:t>537,157,217</w:t>
                </w:r>
              </w:p>
            </w:tc>
            <w:tc>
              <w:tcPr>
                <w:tcW w:w="50" w:type="pct"/>
                <w:shd w:val="clear" w:color="auto" w:fill="CFF0FC"/>
                <w:noWrap/>
                <w:tcMar>
                  <w:top w:w="15" w:type="dxa"/>
                  <w:left w:w="0" w:type="dxa"/>
                  <w:bottom w:w="0" w:type="dxa"/>
                  <w:right w:w="15" w:type="dxa"/>
                </w:tcMar>
                <w:vAlign w:val="bottom"/>
              </w:tcPr>
              <w:p w14:paraId="4B2B8023" w14:textId="77777777" w:rsidR="00675FD1" w:rsidRDefault="00675FD1" w:rsidP="00C667E2">
                <w:pPr>
                  <w:rPr>
                    <w:rFonts w:ascii="Calibri"/>
                    <w:color w:val="000000"/>
                    <w:sz w:val="20"/>
                  </w:rPr>
                </w:pPr>
                <w:r>
                  <w:rPr>
                    <w:rFonts w:ascii="Calibri"/>
                    <w:color w:val="000000"/>
                    <w:sz w:val="20"/>
                  </w:rPr>
                  <w:t xml:space="preserve"> </w:t>
                </w:r>
              </w:p>
            </w:tc>
          </w:tr>
          <w:tr w:rsidR="00675FD1" w14:paraId="533E65D3" w14:textId="77777777">
            <w:trPr>
              <w:cantSplit/>
              <w:jc w:val="center"/>
            </w:trPr>
            <w:tc>
              <w:tcPr>
                <w:tcW w:w="3349" w:type="pct"/>
                <w:shd w:val="clear" w:color="auto" w:fill="FFFFFF"/>
                <w:tcMar>
                  <w:top w:w="15" w:type="dxa"/>
                  <w:left w:w="0" w:type="dxa"/>
                  <w:bottom w:w="0" w:type="dxa"/>
                  <w:right w:w="15" w:type="dxa"/>
                </w:tcMar>
              </w:tcPr>
              <w:p w14:paraId="4276768F" w14:textId="77777777" w:rsidR="00675FD1" w:rsidRDefault="00675FD1" w:rsidP="00C667E2">
                <w:pPr>
                  <w:keepNext/>
                  <w:rPr>
                    <w:rFonts w:ascii="Calibri"/>
                    <w:color w:val="000000"/>
                    <w:sz w:val="20"/>
                  </w:rPr>
                </w:pPr>
                <w:r>
                  <w:rPr>
                    <w:rFonts w:ascii="Calibri"/>
                    <w:color w:val="000000"/>
                    <w:sz w:val="20"/>
                  </w:rPr>
                  <w:t>Premises and equipment, net</w:t>
                </w:r>
              </w:p>
            </w:tc>
            <w:tc>
              <w:tcPr>
                <w:tcW w:w="81" w:type="pct"/>
                <w:shd w:val="clear" w:color="auto" w:fill="FFFFFF"/>
                <w:tcMar>
                  <w:top w:w="15" w:type="dxa"/>
                  <w:left w:w="0" w:type="dxa"/>
                  <w:bottom w:w="0" w:type="dxa"/>
                  <w:right w:w="15" w:type="dxa"/>
                </w:tcMar>
                <w:vAlign w:val="bottom"/>
              </w:tcPr>
              <w:p w14:paraId="55AF34D9"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D8B4E10"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243E7E80" w14:textId="77777777" w:rsidR="00675FD1" w:rsidRDefault="00675FD1" w:rsidP="00C667E2">
                <w:pPr>
                  <w:jc w:val="right"/>
                  <w:rPr>
                    <w:rFonts w:ascii="Calibri"/>
                    <w:color w:val="000000"/>
                    <w:sz w:val="20"/>
                  </w:rPr>
                </w:pPr>
                <w:r>
                  <w:rPr>
                    <w:rFonts w:ascii="Calibri"/>
                    <w:color w:val="000000"/>
                    <w:sz w:val="20"/>
                  </w:rPr>
                  <w:t>4,309,116</w:t>
                </w:r>
              </w:p>
            </w:tc>
            <w:tc>
              <w:tcPr>
                <w:tcW w:w="50" w:type="pct"/>
                <w:shd w:val="clear" w:color="auto" w:fill="FFFFFF"/>
                <w:noWrap/>
                <w:tcMar>
                  <w:top w:w="15" w:type="dxa"/>
                  <w:left w:w="0" w:type="dxa"/>
                  <w:bottom w:w="0" w:type="dxa"/>
                  <w:right w:w="15" w:type="dxa"/>
                </w:tcMar>
                <w:vAlign w:val="bottom"/>
              </w:tcPr>
              <w:p w14:paraId="0C87C14E"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4F0F87C8"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21D8D136"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15DEB805" w14:textId="77777777" w:rsidR="00675FD1" w:rsidRDefault="00675FD1" w:rsidP="00C667E2">
                <w:pPr>
                  <w:jc w:val="right"/>
                  <w:rPr>
                    <w:rFonts w:ascii="Calibri"/>
                    <w:color w:val="000000"/>
                    <w:sz w:val="20"/>
                  </w:rPr>
                </w:pPr>
                <w:r>
                  <w:rPr>
                    <w:rFonts w:ascii="Calibri"/>
                    <w:color w:val="000000"/>
                    <w:sz w:val="20"/>
                  </w:rPr>
                  <w:t>4,196,753</w:t>
                </w:r>
              </w:p>
            </w:tc>
            <w:tc>
              <w:tcPr>
                <w:tcW w:w="50" w:type="pct"/>
                <w:shd w:val="clear" w:color="auto" w:fill="FFFFFF"/>
                <w:noWrap/>
                <w:tcMar>
                  <w:top w:w="15" w:type="dxa"/>
                  <w:left w:w="0" w:type="dxa"/>
                  <w:bottom w:w="0" w:type="dxa"/>
                  <w:right w:w="15" w:type="dxa"/>
                </w:tcMar>
                <w:vAlign w:val="bottom"/>
              </w:tcPr>
              <w:p w14:paraId="1C466286" w14:textId="77777777" w:rsidR="00675FD1" w:rsidRDefault="00675FD1" w:rsidP="00C667E2">
                <w:pPr>
                  <w:rPr>
                    <w:rFonts w:ascii="Calibri"/>
                    <w:color w:val="000000"/>
                    <w:sz w:val="20"/>
                  </w:rPr>
                </w:pPr>
                <w:r>
                  <w:rPr>
                    <w:rFonts w:ascii="Calibri"/>
                    <w:color w:val="000000"/>
                    <w:sz w:val="20"/>
                  </w:rPr>
                  <w:t xml:space="preserve"> </w:t>
                </w:r>
              </w:p>
            </w:tc>
          </w:tr>
          <w:tr w:rsidR="00675FD1" w14:paraId="1F922EF4" w14:textId="77777777">
            <w:trPr>
              <w:cantSplit/>
              <w:jc w:val="center"/>
            </w:trPr>
            <w:tc>
              <w:tcPr>
                <w:tcW w:w="3349" w:type="pct"/>
                <w:shd w:val="clear" w:color="auto" w:fill="CFF0FC"/>
                <w:tcMar>
                  <w:top w:w="15" w:type="dxa"/>
                  <w:left w:w="0" w:type="dxa"/>
                  <w:bottom w:w="0" w:type="dxa"/>
                  <w:right w:w="15" w:type="dxa"/>
                </w:tcMar>
              </w:tcPr>
              <w:p w14:paraId="1BD543DE" w14:textId="77777777" w:rsidR="00675FD1" w:rsidRDefault="00675FD1" w:rsidP="00C667E2">
                <w:pPr>
                  <w:keepNext/>
                  <w:rPr>
                    <w:rFonts w:ascii="Calibri"/>
                    <w:color w:val="000000"/>
                    <w:sz w:val="20"/>
                  </w:rPr>
                </w:pPr>
                <w:r>
                  <w:rPr>
                    <w:rFonts w:ascii="Calibri"/>
                    <w:color w:val="000000"/>
                    <w:sz w:val="20"/>
                  </w:rPr>
                  <w:t>Federal Home Loan Bank (FHLB) stock</w:t>
                </w:r>
              </w:p>
            </w:tc>
            <w:tc>
              <w:tcPr>
                <w:tcW w:w="81" w:type="pct"/>
                <w:shd w:val="clear" w:color="auto" w:fill="CFF0FC"/>
                <w:tcMar>
                  <w:top w:w="15" w:type="dxa"/>
                  <w:left w:w="0" w:type="dxa"/>
                  <w:bottom w:w="0" w:type="dxa"/>
                  <w:right w:w="15" w:type="dxa"/>
                </w:tcMar>
                <w:vAlign w:val="bottom"/>
              </w:tcPr>
              <w:p w14:paraId="5F996AEC"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BA7C052"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0D89C270" w14:textId="77777777" w:rsidR="00675FD1" w:rsidRDefault="00675FD1" w:rsidP="00C667E2">
                <w:pPr>
                  <w:jc w:val="right"/>
                  <w:rPr>
                    <w:rFonts w:ascii="Calibri"/>
                    <w:color w:val="000000"/>
                    <w:sz w:val="20"/>
                  </w:rPr>
                </w:pPr>
                <w:r>
                  <w:rPr>
                    <w:rFonts w:ascii="Calibri"/>
                    <w:color w:val="000000"/>
                    <w:sz w:val="20"/>
                  </w:rPr>
                  <w:t>6,065,200</w:t>
                </w:r>
              </w:p>
            </w:tc>
            <w:tc>
              <w:tcPr>
                <w:tcW w:w="50" w:type="pct"/>
                <w:shd w:val="clear" w:color="auto" w:fill="CFF0FC"/>
                <w:noWrap/>
                <w:tcMar>
                  <w:top w:w="15" w:type="dxa"/>
                  <w:left w:w="0" w:type="dxa"/>
                  <w:bottom w:w="0" w:type="dxa"/>
                  <w:right w:w="15" w:type="dxa"/>
                </w:tcMar>
                <w:vAlign w:val="bottom"/>
              </w:tcPr>
              <w:p w14:paraId="78F50273"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6A6BE5B8"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858AC12"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0CCDFB6B" w14:textId="77777777" w:rsidR="00675FD1" w:rsidRDefault="00675FD1" w:rsidP="00C667E2">
                <w:pPr>
                  <w:jc w:val="right"/>
                  <w:rPr>
                    <w:rFonts w:ascii="Calibri"/>
                    <w:color w:val="000000"/>
                    <w:sz w:val="20"/>
                  </w:rPr>
                </w:pPr>
                <w:r>
                  <w:rPr>
                    <w:rFonts w:ascii="Calibri"/>
                    <w:color w:val="000000"/>
                    <w:sz w:val="20"/>
                  </w:rPr>
                  <w:t>5,672,700</w:t>
                </w:r>
              </w:p>
            </w:tc>
            <w:tc>
              <w:tcPr>
                <w:tcW w:w="50" w:type="pct"/>
                <w:shd w:val="clear" w:color="auto" w:fill="CFF0FC"/>
                <w:noWrap/>
                <w:tcMar>
                  <w:top w:w="15" w:type="dxa"/>
                  <w:left w:w="0" w:type="dxa"/>
                  <w:bottom w:w="0" w:type="dxa"/>
                  <w:right w:w="15" w:type="dxa"/>
                </w:tcMar>
                <w:vAlign w:val="bottom"/>
              </w:tcPr>
              <w:p w14:paraId="5532F948" w14:textId="77777777" w:rsidR="00675FD1" w:rsidRDefault="00675FD1" w:rsidP="00C667E2">
                <w:pPr>
                  <w:rPr>
                    <w:rFonts w:ascii="Calibri"/>
                    <w:color w:val="000000"/>
                    <w:sz w:val="20"/>
                  </w:rPr>
                </w:pPr>
                <w:r>
                  <w:rPr>
                    <w:rFonts w:ascii="Calibri"/>
                    <w:color w:val="000000"/>
                    <w:sz w:val="20"/>
                  </w:rPr>
                  <w:t xml:space="preserve"> </w:t>
                </w:r>
              </w:p>
            </w:tc>
          </w:tr>
          <w:tr w:rsidR="00675FD1" w14:paraId="020F17A3" w14:textId="77777777">
            <w:trPr>
              <w:cantSplit/>
              <w:jc w:val="center"/>
            </w:trPr>
            <w:tc>
              <w:tcPr>
                <w:tcW w:w="3349" w:type="pct"/>
                <w:shd w:val="clear" w:color="auto" w:fill="FFFFFF"/>
                <w:tcMar>
                  <w:top w:w="15" w:type="dxa"/>
                  <w:left w:w="0" w:type="dxa"/>
                  <w:bottom w:w="0" w:type="dxa"/>
                  <w:right w:w="15" w:type="dxa"/>
                </w:tcMar>
              </w:tcPr>
              <w:p w14:paraId="461FFA6B" w14:textId="77777777" w:rsidR="00675FD1" w:rsidRDefault="00675FD1" w:rsidP="00C667E2">
                <w:pPr>
                  <w:keepNext/>
                  <w:rPr>
                    <w:rFonts w:ascii="Calibri"/>
                    <w:color w:val="000000"/>
                    <w:sz w:val="20"/>
                  </w:rPr>
                </w:pPr>
                <w:r>
                  <w:rPr>
                    <w:rFonts w:ascii="Calibri"/>
                    <w:color w:val="000000"/>
                    <w:sz w:val="20"/>
                  </w:rPr>
                  <w:t>Accrued interest receivable</w:t>
                </w:r>
              </w:p>
            </w:tc>
            <w:tc>
              <w:tcPr>
                <w:tcW w:w="81" w:type="pct"/>
                <w:shd w:val="clear" w:color="auto" w:fill="FFFFFF"/>
                <w:tcMar>
                  <w:top w:w="15" w:type="dxa"/>
                  <w:left w:w="0" w:type="dxa"/>
                  <w:bottom w:w="0" w:type="dxa"/>
                  <w:right w:w="15" w:type="dxa"/>
                </w:tcMar>
                <w:vAlign w:val="bottom"/>
              </w:tcPr>
              <w:p w14:paraId="53D6A20D"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C13BBFD"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4C1FCEFF" w14:textId="77777777" w:rsidR="00675FD1" w:rsidRDefault="00675FD1" w:rsidP="00C667E2">
                <w:pPr>
                  <w:jc w:val="right"/>
                  <w:rPr>
                    <w:rFonts w:ascii="Calibri"/>
                    <w:color w:val="000000"/>
                    <w:sz w:val="20"/>
                  </w:rPr>
                </w:pPr>
                <w:r>
                  <w:rPr>
                    <w:rFonts w:ascii="Calibri"/>
                    <w:color w:val="000000"/>
                    <w:sz w:val="20"/>
                  </w:rPr>
                  <w:t>2,982,313</w:t>
                </w:r>
              </w:p>
            </w:tc>
            <w:tc>
              <w:tcPr>
                <w:tcW w:w="50" w:type="pct"/>
                <w:shd w:val="clear" w:color="auto" w:fill="FFFFFF"/>
                <w:noWrap/>
                <w:tcMar>
                  <w:top w:w="15" w:type="dxa"/>
                  <w:left w:w="0" w:type="dxa"/>
                  <w:bottom w:w="0" w:type="dxa"/>
                  <w:right w:w="15" w:type="dxa"/>
                </w:tcMar>
                <w:vAlign w:val="bottom"/>
              </w:tcPr>
              <w:p w14:paraId="7B54F0AA"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04A19668"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613D5F1"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0203674E" w14:textId="77777777" w:rsidR="00675FD1" w:rsidRDefault="00675FD1" w:rsidP="00C667E2">
                <w:pPr>
                  <w:jc w:val="right"/>
                  <w:rPr>
                    <w:rFonts w:ascii="Calibri"/>
                    <w:color w:val="000000"/>
                    <w:sz w:val="20"/>
                  </w:rPr>
                </w:pPr>
                <w:r>
                  <w:rPr>
                    <w:rFonts w:ascii="Calibri"/>
                    <w:color w:val="000000"/>
                    <w:sz w:val="20"/>
                  </w:rPr>
                  <w:t>2,021,360</w:t>
                </w:r>
              </w:p>
            </w:tc>
            <w:tc>
              <w:tcPr>
                <w:tcW w:w="50" w:type="pct"/>
                <w:shd w:val="clear" w:color="auto" w:fill="FFFFFF"/>
                <w:noWrap/>
                <w:tcMar>
                  <w:top w:w="15" w:type="dxa"/>
                  <w:left w:w="0" w:type="dxa"/>
                  <w:bottom w:w="0" w:type="dxa"/>
                  <w:right w:w="15" w:type="dxa"/>
                </w:tcMar>
                <w:vAlign w:val="bottom"/>
              </w:tcPr>
              <w:p w14:paraId="579ECC43" w14:textId="77777777" w:rsidR="00675FD1" w:rsidRDefault="00675FD1" w:rsidP="00C667E2">
                <w:pPr>
                  <w:rPr>
                    <w:rFonts w:ascii="Calibri"/>
                    <w:color w:val="000000"/>
                    <w:sz w:val="20"/>
                  </w:rPr>
                </w:pPr>
                <w:r>
                  <w:rPr>
                    <w:rFonts w:ascii="Calibri"/>
                    <w:color w:val="000000"/>
                    <w:sz w:val="20"/>
                  </w:rPr>
                  <w:t xml:space="preserve"> </w:t>
                </w:r>
              </w:p>
            </w:tc>
          </w:tr>
          <w:tr w:rsidR="00675FD1" w14:paraId="61762FB6" w14:textId="77777777">
            <w:trPr>
              <w:cantSplit/>
              <w:jc w:val="center"/>
            </w:trPr>
            <w:tc>
              <w:tcPr>
                <w:tcW w:w="3349" w:type="pct"/>
                <w:shd w:val="clear" w:color="auto" w:fill="CFF0FC"/>
                <w:tcMar>
                  <w:top w:w="15" w:type="dxa"/>
                  <w:left w:w="0" w:type="dxa"/>
                  <w:bottom w:w="0" w:type="dxa"/>
                  <w:right w:w="15" w:type="dxa"/>
                </w:tcMar>
              </w:tcPr>
              <w:p w14:paraId="180A84E9" w14:textId="77777777" w:rsidR="00675FD1" w:rsidRDefault="00675FD1" w:rsidP="00C667E2">
                <w:pPr>
                  <w:keepNext/>
                  <w:rPr>
                    <w:rFonts w:ascii="Calibri"/>
                    <w:color w:val="000000"/>
                    <w:sz w:val="20"/>
                  </w:rPr>
                </w:pPr>
                <w:r>
                  <w:rPr>
                    <w:rFonts w:ascii="Calibri"/>
                    <w:color w:val="000000"/>
                    <w:sz w:val="20"/>
                  </w:rPr>
                  <w:t>Bank owned life insurance</w:t>
                </w:r>
              </w:p>
            </w:tc>
            <w:tc>
              <w:tcPr>
                <w:tcW w:w="81" w:type="pct"/>
                <w:shd w:val="clear" w:color="auto" w:fill="CFF0FC"/>
                <w:tcMar>
                  <w:top w:w="15" w:type="dxa"/>
                  <w:left w:w="0" w:type="dxa"/>
                  <w:bottom w:w="0" w:type="dxa"/>
                  <w:right w:w="15" w:type="dxa"/>
                </w:tcMar>
                <w:vAlign w:val="bottom"/>
              </w:tcPr>
              <w:p w14:paraId="66999711"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D454F67"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5703EF4B" w14:textId="77777777" w:rsidR="00675FD1" w:rsidRDefault="00675FD1" w:rsidP="00C667E2">
                <w:pPr>
                  <w:jc w:val="right"/>
                  <w:rPr>
                    <w:rFonts w:ascii="Calibri"/>
                    <w:color w:val="000000"/>
                    <w:sz w:val="20"/>
                  </w:rPr>
                </w:pPr>
                <w:r>
                  <w:rPr>
                    <w:rFonts w:ascii="Calibri"/>
                    <w:color w:val="000000"/>
                    <w:sz w:val="20"/>
                  </w:rPr>
                  <w:t>16,827,094</w:t>
                </w:r>
              </w:p>
            </w:tc>
            <w:tc>
              <w:tcPr>
                <w:tcW w:w="50" w:type="pct"/>
                <w:shd w:val="clear" w:color="auto" w:fill="CFF0FC"/>
                <w:noWrap/>
                <w:tcMar>
                  <w:top w:w="15" w:type="dxa"/>
                  <w:left w:w="0" w:type="dxa"/>
                  <w:bottom w:w="0" w:type="dxa"/>
                  <w:right w:w="15" w:type="dxa"/>
                </w:tcMar>
                <w:vAlign w:val="bottom"/>
              </w:tcPr>
              <w:p w14:paraId="4CFFF805"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12DAC79D"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E2885CF"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23A243BF" w14:textId="77777777" w:rsidR="00675FD1" w:rsidRDefault="00675FD1" w:rsidP="00C667E2">
                <w:pPr>
                  <w:jc w:val="right"/>
                  <w:rPr>
                    <w:rFonts w:ascii="Calibri"/>
                    <w:color w:val="000000"/>
                    <w:sz w:val="20"/>
                  </w:rPr>
                </w:pPr>
                <w:r>
                  <w:rPr>
                    <w:rFonts w:ascii="Calibri"/>
                    <w:color w:val="000000"/>
                    <w:sz w:val="20"/>
                  </w:rPr>
                  <w:t>17,409,745</w:t>
                </w:r>
              </w:p>
            </w:tc>
            <w:tc>
              <w:tcPr>
                <w:tcW w:w="50" w:type="pct"/>
                <w:shd w:val="clear" w:color="auto" w:fill="CFF0FC"/>
                <w:noWrap/>
                <w:tcMar>
                  <w:top w:w="15" w:type="dxa"/>
                  <w:left w:w="0" w:type="dxa"/>
                  <w:bottom w:w="0" w:type="dxa"/>
                  <w:right w:w="15" w:type="dxa"/>
                </w:tcMar>
                <w:vAlign w:val="bottom"/>
              </w:tcPr>
              <w:p w14:paraId="230DBF72" w14:textId="77777777" w:rsidR="00675FD1" w:rsidRDefault="00675FD1" w:rsidP="00C667E2">
                <w:pPr>
                  <w:rPr>
                    <w:rFonts w:ascii="Calibri"/>
                    <w:color w:val="000000"/>
                    <w:sz w:val="20"/>
                  </w:rPr>
                </w:pPr>
                <w:r>
                  <w:rPr>
                    <w:rFonts w:ascii="Calibri"/>
                    <w:color w:val="000000"/>
                    <w:sz w:val="20"/>
                  </w:rPr>
                  <w:t xml:space="preserve"> </w:t>
                </w:r>
              </w:p>
            </w:tc>
          </w:tr>
          <w:tr w:rsidR="00675FD1" w14:paraId="5C5F72AA" w14:textId="77777777">
            <w:trPr>
              <w:cantSplit/>
              <w:jc w:val="center"/>
            </w:trPr>
            <w:tc>
              <w:tcPr>
                <w:tcW w:w="3349" w:type="pct"/>
                <w:shd w:val="clear" w:color="auto" w:fill="FFFFFF"/>
                <w:tcMar>
                  <w:top w:w="15" w:type="dxa"/>
                  <w:left w:w="0" w:type="dxa"/>
                  <w:bottom w:w="0" w:type="dxa"/>
                  <w:right w:w="15" w:type="dxa"/>
                </w:tcMar>
              </w:tcPr>
              <w:p w14:paraId="0E1134E8" w14:textId="77777777" w:rsidR="00675FD1" w:rsidRDefault="00675FD1" w:rsidP="00C667E2">
                <w:pPr>
                  <w:keepNext/>
                  <w:rPr>
                    <w:rFonts w:ascii="Calibri"/>
                    <w:color w:val="000000"/>
                    <w:sz w:val="20"/>
                  </w:rPr>
                </w:pPr>
                <w:r>
                  <w:rPr>
                    <w:rFonts w:ascii="Calibri"/>
                    <w:color w:val="000000"/>
                    <w:sz w:val="20"/>
                  </w:rPr>
                  <w:t>Other assets</w:t>
                </w:r>
              </w:p>
            </w:tc>
            <w:tc>
              <w:tcPr>
                <w:tcW w:w="81" w:type="pct"/>
                <w:shd w:val="clear" w:color="auto" w:fill="FFFFFF"/>
                <w:tcMar>
                  <w:top w:w="15" w:type="dxa"/>
                  <w:left w:w="0" w:type="dxa"/>
                  <w:bottom w:w="0" w:type="dxa"/>
                  <w:right w:w="15" w:type="dxa"/>
                </w:tcMar>
                <w:vAlign w:val="bottom"/>
              </w:tcPr>
              <w:p w14:paraId="45276F50"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4E63166"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5E01C7A8" w14:textId="77777777" w:rsidR="00675FD1" w:rsidRDefault="00675FD1" w:rsidP="00C667E2">
                <w:pPr>
                  <w:jc w:val="right"/>
                  <w:rPr>
                    <w:rFonts w:ascii="Calibri"/>
                    <w:color w:val="000000"/>
                    <w:sz w:val="20"/>
                  </w:rPr>
                </w:pPr>
                <w:r>
                  <w:rPr>
                    <w:rFonts w:ascii="Calibri"/>
                    <w:color w:val="000000"/>
                    <w:sz w:val="20"/>
                  </w:rPr>
                  <w:t>1,988,626</w:t>
                </w:r>
              </w:p>
            </w:tc>
            <w:tc>
              <w:tcPr>
                <w:tcW w:w="50" w:type="pct"/>
                <w:shd w:val="clear" w:color="auto" w:fill="FFFFFF"/>
                <w:noWrap/>
                <w:tcMar>
                  <w:top w:w="15" w:type="dxa"/>
                  <w:left w:w="0" w:type="dxa"/>
                  <w:bottom w:w="0" w:type="dxa"/>
                  <w:right w:w="15" w:type="dxa"/>
                </w:tcMar>
                <w:vAlign w:val="bottom"/>
              </w:tcPr>
              <w:p w14:paraId="05555B51"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369CD964"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A4C9630"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272A8682" w14:textId="77777777" w:rsidR="00675FD1" w:rsidRDefault="00675FD1" w:rsidP="00C667E2">
                <w:pPr>
                  <w:jc w:val="right"/>
                  <w:rPr>
                    <w:rFonts w:ascii="Calibri"/>
                    <w:color w:val="000000"/>
                    <w:sz w:val="20"/>
                  </w:rPr>
                </w:pPr>
                <w:r>
                  <w:rPr>
                    <w:rFonts w:ascii="Calibri"/>
                    <w:color w:val="000000"/>
                    <w:sz w:val="20"/>
                  </w:rPr>
                  <w:t>2,450,042</w:t>
                </w:r>
              </w:p>
            </w:tc>
            <w:tc>
              <w:tcPr>
                <w:tcW w:w="50" w:type="pct"/>
                <w:shd w:val="clear" w:color="auto" w:fill="FFFFFF"/>
                <w:noWrap/>
                <w:tcMar>
                  <w:top w:w="15" w:type="dxa"/>
                  <w:left w:w="0" w:type="dxa"/>
                  <w:bottom w:w="0" w:type="dxa"/>
                  <w:right w:w="15" w:type="dxa"/>
                </w:tcMar>
                <w:vAlign w:val="bottom"/>
              </w:tcPr>
              <w:p w14:paraId="2576DF40" w14:textId="77777777" w:rsidR="00675FD1" w:rsidRDefault="00675FD1" w:rsidP="00C667E2">
                <w:pPr>
                  <w:rPr>
                    <w:rFonts w:ascii="Calibri"/>
                    <w:color w:val="000000"/>
                    <w:sz w:val="20"/>
                  </w:rPr>
                </w:pPr>
                <w:r>
                  <w:rPr>
                    <w:rFonts w:ascii="Calibri"/>
                    <w:color w:val="000000"/>
                    <w:sz w:val="20"/>
                  </w:rPr>
                  <w:t xml:space="preserve"> </w:t>
                </w:r>
              </w:p>
            </w:tc>
          </w:tr>
          <w:tr w:rsidR="00675FD1" w14:paraId="50D42227" w14:textId="77777777">
            <w:trPr>
              <w:cantSplit/>
              <w:jc w:val="center"/>
            </w:trPr>
            <w:tc>
              <w:tcPr>
                <w:tcW w:w="3349" w:type="pct"/>
                <w:shd w:val="clear" w:color="auto" w:fill="CFF0FC"/>
                <w:tcMar>
                  <w:top w:w="15" w:type="dxa"/>
                  <w:left w:w="0" w:type="dxa"/>
                  <w:bottom w:w="0" w:type="dxa"/>
                  <w:right w:w="15" w:type="dxa"/>
                </w:tcMar>
              </w:tcPr>
              <w:p w14:paraId="54BECA7C" w14:textId="77777777" w:rsidR="00675FD1" w:rsidRDefault="00675FD1" w:rsidP="00C667E2">
                <w:pPr>
                  <w:keepNext/>
                  <w:ind w:left="274"/>
                  <w:rPr>
                    <w:rFonts w:ascii="Calibri"/>
                    <w:color w:val="000000"/>
                    <w:sz w:val="20"/>
                  </w:rPr>
                </w:pPr>
                <w:r>
                  <w:rPr>
                    <w:rFonts w:ascii="Calibri"/>
                    <w:color w:val="000000"/>
                    <w:sz w:val="20"/>
                  </w:rPr>
                  <w:t>Total Assets</w:t>
                </w:r>
              </w:p>
            </w:tc>
            <w:tc>
              <w:tcPr>
                <w:tcW w:w="81" w:type="pct"/>
                <w:shd w:val="clear" w:color="auto" w:fill="CFF0FC"/>
                <w:tcMar>
                  <w:top w:w="15" w:type="dxa"/>
                  <w:left w:w="0" w:type="dxa"/>
                  <w:bottom w:w="0" w:type="dxa"/>
                  <w:right w:w="15" w:type="dxa"/>
                </w:tcMar>
                <w:vAlign w:val="bottom"/>
              </w:tcPr>
              <w:p w14:paraId="366AD203"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B078433" w14:textId="77777777" w:rsidR="00675FD1" w:rsidRDefault="00675FD1" w:rsidP="00C667E2">
                <w:pPr>
                  <w:rPr>
                    <w:rFonts w:ascii="Calibri"/>
                    <w:color w:val="000000"/>
                    <w:sz w:val="20"/>
                  </w:rPr>
                </w:pPr>
                <w:r>
                  <w:rPr>
                    <w:rFonts w:ascii="Calibri"/>
                    <w:color w:val="000000"/>
                    <w:sz w:val="20"/>
                  </w:rPr>
                  <w:t>$</w:t>
                </w:r>
              </w:p>
            </w:tc>
            <w:tc>
              <w:tcPr>
                <w:tcW w:w="64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A675A77" w14:textId="77777777" w:rsidR="00675FD1" w:rsidRDefault="00675FD1" w:rsidP="00C667E2">
                <w:pPr>
                  <w:jc w:val="right"/>
                  <w:rPr>
                    <w:rFonts w:ascii="Calibri"/>
                    <w:color w:val="000000"/>
                    <w:sz w:val="20"/>
                  </w:rPr>
                </w:pPr>
                <w:r>
                  <w:rPr>
                    <w:rFonts w:ascii="Calibri"/>
                    <w:color w:val="000000"/>
                    <w:sz w:val="20"/>
                  </w:rPr>
                  <w:t>753,504,037</w:t>
                </w:r>
              </w:p>
            </w:tc>
            <w:tc>
              <w:tcPr>
                <w:tcW w:w="50" w:type="pct"/>
                <w:shd w:val="clear" w:color="auto" w:fill="CFF0FC"/>
                <w:noWrap/>
                <w:tcMar>
                  <w:top w:w="15" w:type="dxa"/>
                  <w:left w:w="0" w:type="dxa"/>
                  <w:bottom w:w="0" w:type="dxa"/>
                  <w:right w:w="15" w:type="dxa"/>
                </w:tcMar>
                <w:vAlign w:val="bottom"/>
              </w:tcPr>
              <w:p w14:paraId="5A065B13"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40E0CB8F"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AEDF6C2" w14:textId="77777777" w:rsidR="00675FD1" w:rsidRDefault="00675FD1" w:rsidP="00C667E2">
                <w:pPr>
                  <w:rPr>
                    <w:rFonts w:ascii="Calibri"/>
                    <w:color w:val="000000"/>
                    <w:sz w:val="20"/>
                  </w:rPr>
                </w:pPr>
                <w:r>
                  <w:rPr>
                    <w:rFonts w:ascii="Calibri"/>
                    <w:color w:val="000000"/>
                    <w:sz w:val="20"/>
                  </w:rPr>
                  <w:t>$</w:t>
                </w:r>
              </w:p>
            </w:tc>
            <w:tc>
              <w:tcPr>
                <w:tcW w:w="64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62020BA" w14:textId="77777777" w:rsidR="00675FD1" w:rsidRDefault="00675FD1" w:rsidP="00C667E2">
                <w:pPr>
                  <w:jc w:val="right"/>
                  <w:rPr>
                    <w:rFonts w:ascii="Calibri"/>
                    <w:color w:val="000000"/>
                    <w:sz w:val="20"/>
                  </w:rPr>
                </w:pPr>
                <w:r>
                  <w:rPr>
                    <w:rFonts w:ascii="Calibri"/>
                    <w:color w:val="000000"/>
                    <w:sz w:val="20"/>
                  </w:rPr>
                  <w:t>766,612,254</w:t>
                </w:r>
              </w:p>
            </w:tc>
            <w:tc>
              <w:tcPr>
                <w:tcW w:w="50" w:type="pct"/>
                <w:shd w:val="clear" w:color="auto" w:fill="CFF0FC"/>
                <w:noWrap/>
                <w:tcMar>
                  <w:top w:w="15" w:type="dxa"/>
                  <w:left w:w="0" w:type="dxa"/>
                  <w:bottom w:w="0" w:type="dxa"/>
                  <w:right w:w="15" w:type="dxa"/>
                </w:tcMar>
                <w:vAlign w:val="bottom"/>
              </w:tcPr>
              <w:p w14:paraId="79947EDF" w14:textId="77777777" w:rsidR="00675FD1" w:rsidRDefault="00675FD1" w:rsidP="00C667E2">
                <w:pPr>
                  <w:rPr>
                    <w:rFonts w:ascii="Calibri"/>
                    <w:color w:val="000000"/>
                    <w:sz w:val="20"/>
                  </w:rPr>
                </w:pPr>
                <w:r>
                  <w:rPr>
                    <w:rFonts w:ascii="Calibri"/>
                    <w:color w:val="000000"/>
                    <w:sz w:val="20"/>
                  </w:rPr>
                  <w:t xml:space="preserve"> </w:t>
                </w:r>
              </w:p>
            </w:tc>
          </w:tr>
          <w:tr w:rsidR="00675FD1" w14:paraId="4D049C43" w14:textId="77777777">
            <w:trPr>
              <w:cantSplit/>
              <w:jc w:val="center"/>
            </w:trPr>
            <w:tc>
              <w:tcPr>
                <w:tcW w:w="3349" w:type="pct"/>
                <w:shd w:val="clear" w:color="auto" w:fill="FFFFFF"/>
                <w:tcMar>
                  <w:top w:w="15" w:type="dxa"/>
                  <w:left w:w="0" w:type="dxa"/>
                  <w:bottom w:w="0" w:type="dxa"/>
                  <w:right w:w="15" w:type="dxa"/>
                </w:tcMar>
              </w:tcPr>
              <w:p w14:paraId="752F16CB" w14:textId="77777777" w:rsidR="00675FD1" w:rsidRDefault="00675FD1" w:rsidP="00C667E2">
                <w:pPr>
                  <w:keepNext/>
                  <w:jc w:val="center"/>
                  <w:rPr>
                    <w:rFonts w:ascii="Calibri"/>
                    <w:b/>
                    <w:color w:val="000000"/>
                    <w:sz w:val="20"/>
                  </w:rPr>
                </w:pPr>
                <w:r>
                  <w:rPr>
                    <w:rFonts w:ascii="Calibri"/>
                    <w:b/>
                    <w:color w:val="000000"/>
                    <w:sz w:val="20"/>
                  </w:rPr>
                  <w:t>Liabilities and Equity</w:t>
                </w:r>
              </w:p>
            </w:tc>
            <w:tc>
              <w:tcPr>
                <w:tcW w:w="81" w:type="pct"/>
                <w:shd w:val="clear" w:color="auto" w:fill="FFFFFF"/>
                <w:tcMar>
                  <w:top w:w="15" w:type="dxa"/>
                  <w:left w:w="0" w:type="dxa"/>
                  <w:bottom w:w="0" w:type="dxa"/>
                  <w:right w:w="15" w:type="dxa"/>
                </w:tcMar>
                <w:vAlign w:val="bottom"/>
              </w:tcPr>
              <w:p w14:paraId="2A8A67C7" w14:textId="77777777" w:rsidR="00675FD1" w:rsidRDefault="00675FD1" w:rsidP="00C667E2">
                <w:pPr>
                  <w:rPr>
                    <w:rFonts w:ascii="Calibri"/>
                    <w:b/>
                    <w:color w:val="000000"/>
                    <w:sz w:val="20"/>
                  </w:rPr>
                </w:pPr>
                <w:r>
                  <w:rPr>
                    <w:rFonts w:ascii="Calibri"/>
                    <w:b/>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ABC04DA"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double" w:sz="6" w:space="0" w:color="000000"/>
                </w:tcBorders>
                <w:shd w:val="clear" w:color="auto" w:fill="FFFFFF"/>
                <w:noWrap/>
                <w:tcMar>
                  <w:top w:w="15" w:type="dxa"/>
                  <w:left w:w="0" w:type="dxa"/>
                  <w:bottom w:w="0" w:type="dxa"/>
                  <w:right w:w="15" w:type="dxa"/>
                </w:tcMar>
                <w:vAlign w:val="bottom"/>
              </w:tcPr>
              <w:p w14:paraId="3A12E494" w14:textId="77777777" w:rsidR="00675FD1" w:rsidRDefault="00675FD1" w:rsidP="00C667E2">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1D7E340"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5235CDCA"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524996C"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double" w:sz="6" w:space="0" w:color="000000"/>
                </w:tcBorders>
                <w:shd w:val="clear" w:color="auto" w:fill="FFFFFF"/>
                <w:noWrap/>
                <w:tcMar>
                  <w:top w:w="15" w:type="dxa"/>
                  <w:left w:w="0" w:type="dxa"/>
                  <w:bottom w:w="0" w:type="dxa"/>
                  <w:right w:w="15" w:type="dxa"/>
                </w:tcMar>
                <w:vAlign w:val="bottom"/>
              </w:tcPr>
              <w:p w14:paraId="181EA951" w14:textId="77777777" w:rsidR="00675FD1" w:rsidRDefault="00675FD1" w:rsidP="00C667E2">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B523D3F" w14:textId="77777777" w:rsidR="00675FD1" w:rsidRDefault="00675FD1" w:rsidP="00C667E2">
                <w:pPr>
                  <w:rPr>
                    <w:rFonts w:ascii="Calibri"/>
                    <w:color w:val="000000"/>
                    <w:sz w:val="20"/>
                  </w:rPr>
                </w:pPr>
                <w:r>
                  <w:rPr>
                    <w:rFonts w:ascii="Calibri"/>
                    <w:color w:val="000000"/>
                    <w:sz w:val="20"/>
                  </w:rPr>
                  <w:t xml:space="preserve"> </w:t>
                </w:r>
              </w:p>
            </w:tc>
          </w:tr>
          <w:tr w:rsidR="00675FD1" w14:paraId="31436873" w14:textId="77777777">
            <w:trPr>
              <w:cantSplit/>
              <w:jc w:val="center"/>
            </w:trPr>
            <w:tc>
              <w:tcPr>
                <w:tcW w:w="3349" w:type="pct"/>
                <w:shd w:val="clear" w:color="auto" w:fill="CFF0FC"/>
                <w:tcMar>
                  <w:top w:w="15" w:type="dxa"/>
                  <w:left w:w="0" w:type="dxa"/>
                  <w:bottom w:w="0" w:type="dxa"/>
                  <w:right w:w="15" w:type="dxa"/>
                </w:tcMar>
              </w:tcPr>
              <w:p w14:paraId="44EB9247" w14:textId="77777777" w:rsidR="00675FD1" w:rsidRDefault="00675FD1" w:rsidP="00C667E2">
                <w:pPr>
                  <w:keepNext/>
                  <w:rPr>
                    <w:rFonts w:ascii="Calibri"/>
                    <w:color w:val="000000"/>
                    <w:sz w:val="20"/>
                  </w:rPr>
                </w:pPr>
                <w:r>
                  <w:rPr>
                    <w:rFonts w:ascii="Calibri"/>
                    <w:color w:val="000000"/>
                    <w:sz w:val="20"/>
                  </w:rPr>
                  <w:t>Liabilities</w:t>
                </w:r>
              </w:p>
            </w:tc>
            <w:tc>
              <w:tcPr>
                <w:tcW w:w="81" w:type="pct"/>
                <w:shd w:val="clear" w:color="auto" w:fill="CFF0FC"/>
                <w:tcMar>
                  <w:top w:w="15" w:type="dxa"/>
                  <w:left w:w="0" w:type="dxa"/>
                  <w:bottom w:w="0" w:type="dxa"/>
                  <w:right w:w="15" w:type="dxa"/>
                </w:tcMar>
                <w:vAlign w:val="bottom"/>
              </w:tcPr>
              <w:p w14:paraId="1C5782C4"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4404BED"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11ADC22E" w14:textId="77777777" w:rsidR="00675FD1" w:rsidRDefault="00675FD1" w:rsidP="00C667E2">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1FF1495"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41C588F9"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2248110"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5D781D06" w14:textId="77777777" w:rsidR="00675FD1" w:rsidRDefault="00675FD1" w:rsidP="00C667E2">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3FE63B1" w14:textId="77777777" w:rsidR="00675FD1" w:rsidRDefault="00675FD1" w:rsidP="00C667E2">
                <w:pPr>
                  <w:rPr>
                    <w:rFonts w:ascii="Calibri"/>
                    <w:color w:val="000000"/>
                    <w:sz w:val="20"/>
                  </w:rPr>
                </w:pPr>
                <w:r>
                  <w:rPr>
                    <w:rFonts w:ascii="Calibri"/>
                    <w:color w:val="000000"/>
                    <w:sz w:val="20"/>
                  </w:rPr>
                  <w:t xml:space="preserve"> </w:t>
                </w:r>
              </w:p>
            </w:tc>
          </w:tr>
          <w:tr w:rsidR="00675FD1" w14:paraId="4C1DC838" w14:textId="77777777">
            <w:trPr>
              <w:cantSplit/>
              <w:jc w:val="center"/>
            </w:trPr>
            <w:tc>
              <w:tcPr>
                <w:tcW w:w="3349" w:type="pct"/>
                <w:shd w:val="clear" w:color="auto" w:fill="FFFFFF"/>
                <w:tcMar>
                  <w:top w:w="15" w:type="dxa"/>
                  <w:left w:w="0" w:type="dxa"/>
                  <w:bottom w:w="0" w:type="dxa"/>
                  <w:right w:w="15" w:type="dxa"/>
                </w:tcMar>
              </w:tcPr>
              <w:p w14:paraId="020AD3E1" w14:textId="77777777" w:rsidR="00675FD1" w:rsidRDefault="00675FD1" w:rsidP="00C667E2">
                <w:pPr>
                  <w:keepNext/>
                  <w:ind w:left="274"/>
                  <w:rPr>
                    <w:rFonts w:ascii="Calibri"/>
                    <w:color w:val="000000"/>
                    <w:sz w:val="20"/>
                  </w:rPr>
                </w:pPr>
                <w:r>
                  <w:rPr>
                    <w:rFonts w:ascii="Calibri"/>
                    <w:color w:val="000000"/>
                    <w:sz w:val="20"/>
                  </w:rPr>
                  <w:t>Non-interest bearing</w:t>
                </w:r>
              </w:p>
            </w:tc>
            <w:tc>
              <w:tcPr>
                <w:tcW w:w="81" w:type="pct"/>
                <w:shd w:val="clear" w:color="auto" w:fill="FFFFFF"/>
                <w:tcMar>
                  <w:top w:w="15" w:type="dxa"/>
                  <w:left w:w="0" w:type="dxa"/>
                  <w:bottom w:w="0" w:type="dxa"/>
                  <w:right w:w="15" w:type="dxa"/>
                </w:tcMar>
                <w:vAlign w:val="bottom"/>
              </w:tcPr>
              <w:p w14:paraId="746F18E1"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51A6E25" w14:textId="77777777" w:rsidR="00675FD1" w:rsidRDefault="00675FD1" w:rsidP="00C667E2">
                <w:pPr>
                  <w:rPr>
                    <w:rFonts w:ascii="Calibri"/>
                    <w:color w:val="000000"/>
                    <w:sz w:val="20"/>
                  </w:rPr>
                </w:pPr>
                <w:r>
                  <w:rPr>
                    <w:rFonts w:ascii="Calibri"/>
                    <w:color w:val="000000"/>
                    <w:sz w:val="20"/>
                  </w:rPr>
                  <w:t>$</w:t>
                </w:r>
              </w:p>
            </w:tc>
            <w:tc>
              <w:tcPr>
                <w:tcW w:w="644" w:type="pct"/>
                <w:shd w:val="clear" w:color="auto" w:fill="FFFFFF"/>
                <w:noWrap/>
                <w:tcMar>
                  <w:top w:w="15" w:type="dxa"/>
                  <w:left w:w="0" w:type="dxa"/>
                  <w:bottom w:w="0" w:type="dxa"/>
                  <w:right w:w="15" w:type="dxa"/>
                </w:tcMar>
                <w:vAlign w:val="bottom"/>
              </w:tcPr>
              <w:p w14:paraId="42005C54" w14:textId="77777777" w:rsidR="00675FD1" w:rsidRDefault="00675FD1" w:rsidP="00C667E2">
                <w:pPr>
                  <w:jc w:val="right"/>
                  <w:rPr>
                    <w:rFonts w:ascii="Calibri"/>
                    <w:color w:val="000000"/>
                    <w:sz w:val="20"/>
                  </w:rPr>
                </w:pPr>
                <w:r>
                  <w:rPr>
                    <w:rFonts w:ascii="Calibri"/>
                    <w:color w:val="000000"/>
                    <w:sz w:val="20"/>
                  </w:rPr>
                  <w:t>24,026,431</w:t>
                </w:r>
              </w:p>
            </w:tc>
            <w:tc>
              <w:tcPr>
                <w:tcW w:w="50" w:type="pct"/>
                <w:shd w:val="clear" w:color="auto" w:fill="FFFFFF"/>
                <w:noWrap/>
                <w:tcMar>
                  <w:top w:w="15" w:type="dxa"/>
                  <w:left w:w="0" w:type="dxa"/>
                  <w:bottom w:w="0" w:type="dxa"/>
                  <w:right w:w="15" w:type="dxa"/>
                </w:tcMar>
                <w:vAlign w:val="bottom"/>
              </w:tcPr>
              <w:p w14:paraId="22E2E905"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76122ADF"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203A6D9" w14:textId="77777777" w:rsidR="00675FD1" w:rsidRDefault="00675FD1" w:rsidP="00C667E2">
                <w:pPr>
                  <w:rPr>
                    <w:rFonts w:ascii="Calibri"/>
                    <w:color w:val="000000"/>
                    <w:sz w:val="20"/>
                  </w:rPr>
                </w:pPr>
                <w:r>
                  <w:rPr>
                    <w:rFonts w:ascii="Calibri"/>
                    <w:color w:val="000000"/>
                    <w:sz w:val="20"/>
                  </w:rPr>
                  <w:t>$</w:t>
                </w:r>
              </w:p>
            </w:tc>
            <w:tc>
              <w:tcPr>
                <w:tcW w:w="644" w:type="pct"/>
                <w:shd w:val="clear" w:color="auto" w:fill="FFFFFF"/>
                <w:noWrap/>
                <w:tcMar>
                  <w:top w:w="15" w:type="dxa"/>
                  <w:left w:w="0" w:type="dxa"/>
                  <w:bottom w:w="0" w:type="dxa"/>
                  <w:right w:w="15" w:type="dxa"/>
                </w:tcMar>
                <w:vAlign w:val="bottom"/>
              </w:tcPr>
              <w:p w14:paraId="512493CB" w14:textId="77777777" w:rsidR="00675FD1" w:rsidRDefault="00675FD1" w:rsidP="00C667E2">
                <w:pPr>
                  <w:jc w:val="right"/>
                  <w:rPr>
                    <w:rFonts w:ascii="Calibri"/>
                    <w:color w:val="000000"/>
                    <w:sz w:val="20"/>
                  </w:rPr>
                </w:pPr>
                <w:r>
                  <w:rPr>
                    <w:rFonts w:ascii="Calibri"/>
                    <w:color w:val="000000"/>
                    <w:sz w:val="20"/>
                  </w:rPr>
                  <w:t>16,122,231</w:t>
                </w:r>
              </w:p>
            </w:tc>
            <w:tc>
              <w:tcPr>
                <w:tcW w:w="50" w:type="pct"/>
                <w:shd w:val="clear" w:color="auto" w:fill="FFFFFF"/>
                <w:noWrap/>
                <w:tcMar>
                  <w:top w:w="15" w:type="dxa"/>
                  <w:left w:w="0" w:type="dxa"/>
                  <w:bottom w:w="0" w:type="dxa"/>
                  <w:right w:w="15" w:type="dxa"/>
                </w:tcMar>
                <w:vAlign w:val="bottom"/>
              </w:tcPr>
              <w:p w14:paraId="0346BF19" w14:textId="77777777" w:rsidR="00675FD1" w:rsidRDefault="00675FD1" w:rsidP="00C667E2">
                <w:pPr>
                  <w:rPr>
                    <w:rFonts w:ascii="Calibri"/>
                    <w:color w:val="000000"/>
                    <w:sz w:val="20"/>
                  </w:rPr>
                </w:pPr>
                <w:r>
                  <w:rPr>
                    <w:rFonts w:ascii="Calibri"/>
                    <w:color w:val="000000"/>
                    <w:sz w:val="20"/>
                  </w:rPr>
                  <w:t xml:space="preserve"> </w:t>
                </w:r>
              </w:p>
            </w:tc>
          </w:tr>
          <w:tr w:rsidR="00675FD1" w14:paraId="62325054" w14:textId="77777777">
            <w:trPr>
              <w:cantSplit/>
              <w:jc w:val="center"/>
            </w:trPr>
            <w:tc>
              <w:tcPr>
                <w:tcW w:w="3349" w:type="pct"/>
                <w:shd w:val="clear" w:color="auto" w:fill="CFF0FC"/>
                <w:tcMar>
                  <w:top w:w="15" w:type="dxa"/>
                  <w:left w:w="0" w:type="dxa"/>
                  <w:bottom w:w="0" w:type="dxa"/>
                  <w:right w:w="15" w:type="dxa"/>
                </w:tcMar>
              </w:tcPr>
              <w:p w14:paraId="2D96F7A5" w14:textId="77777777" w:rsidR="00675FD1" w:rsidRDefault="00675FD1" w:rsidP="00C667E2">
                <w:pPr>
                  <w:keepNext/>
                  <w:ind w:left="547"/>
                  <w:rPr>
                    <w:rFonts w:ascii="Calibri"/>
                    <w:color w:val="000000"/>
                    <w:sz w:val="20"/>
                  </w:rPr>
                </w:pPr>
                <w:r>
                  <w:rPr>
                    <w:rFonts w:ascii="Calibri"/>
                    <w:color w:val="000000"/>
                    <w:sz w:val="20"/>
                  </w:rPr>
                  <w:t>Interest bearing</w:t>
                </w:r>
              </w:p>
            </w:tc>
            <w:tc>
              <w:tcPr>
                <w:tcW w:w="81" w:type="pct"/>
                <w:shd w:val="clear" w:color="auto" w:fill="CFF0FC"/>
                <w:tcMar>
                  <w:top w:w="15" w:type="dxa"/>
                  <w:left w:w="0" w:type="dxa"/>
                  <w:bottom w:w="0" w:type="dxa"/>
                  <w:right w:w="15" w:type="dxa"/>
                </w:tcMar>
                <w:vAlign w:val="bottom"/>
              </w:tcPr>
              <w:p w14:paraId="13A7439F"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2D9D39A"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49976E32" w14:textId="77777777" w:rsidR="00675FD1" w:rsidRDefault="00675FD1" w:rsidP="00C667E2">
                <w:pPr>
                  <w:jc w:val="right"/>
                  <w:rPr>
                    <w:rFonts w:ascii="Calibri"/>
                    <w:color w:val="000000"/>
                    <w:sz w:val="20"/>
                  </w:rPr>
                </w:pPr>
                <w:r>
                  <w:rPr>
                    <w:rFonts w:ascii="Calibri"/>
                    <w:color w:val="000000"/>
                    <w:sz w:val="20"/>
                  </w:rPr>
                  <w:t>486,838,498</w:t>
                </w:r>
              </w:p>
            </w:tc>
            <w:tc>
              <w:tcPr>
                <w:tcW w:w="50" w:type="pct"/>
                <w:shd w:val="clear" w:color="auto" w:fill="CFF0FC"/>
                <w:noWrap/>
                <w:tcMar>
                  <w:top w:w="15" w:type="dxa"/>
                  <w:left w:w="0" w:type="dxa"/>
                  <w:bottom w:w="0" w:type="dxa"/>
                  <w:right w:w="15" w:type="dxa"/>
                </w:tcMar>
                <w:vAlign w:val="bottom"/>
              </w:tcPr>
              <w:p w14:paraId="516B574B"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1E00BE00"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D85D31B"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320062C4" w14:textId="77777777" w:rsidR="00675FD1" w:rsidRDefault="00675FD1" w:rsidP="00C667E2">
                <w:pPr>
                  <w:jc w:val="right"/>
                  <w:rPr>
                    <w:rFonts w:ascii="Calibri"/>
                    <w:color w:val="000000"/>
                    <w:sz w:val="20"/>
                  </w:rPr>
                </w:pPr>
                <w:r>
                  <w:rPr>
                    <w:rFonts w:ascii="Calibri"/>
                    <w:color w:val="000000"/>
                    <w:sz w:val="20"/>
                  </w:rPr>
                  <w:t>481,627,221</w:t>
                </w:r>
              </w:p>
            </w:tc>
            <w:tc>
              <w:tcPr>
                <w:tcW w:w="50" w:type="pct"/>
                <w:shd w:val="clear" w:color="auto" w:fill="CFF0FC"/>
                <w:noWrap/>
                <w:tcMar>
                  <w:top w:w="15" w:type="dxa"/>
                  <w:left w:w="0" w:type="dxa"/>
                  <w:bottom w:w="0" w:type="dxa"/>
                  <w:right w:w="15" w:type="dxa"/>
                </w:tcMar>
                <w:vAlign w:val="bottom"/>
              </w:tcPr>
              <w:p w14:paraId="53D9B645" w14:textId="77777777" w:rsidR="00675FD1" w:rsidRDefault="00675FD1" w:rsidP="00C667E2">
                <w:pPr>
                  <w:rPr>
                    <w:rFonts w:ascii="Calibri"/>
                    <w:color w:val="000000"/>
                    <w:sz w:val="20"/>
                  </w:rPr>
                </w:pPr>
                <w:r>
                  <w:rPr>
                    <w:rFonts w:ascii="Calibri"/>
                    <w:color w:val="000000"/>
                    <w:sz w:val="20"/>
                  </w:rPr>
                  <w:t xml:space="preserve"> </w:t>
                </w:r>
              </w:p>
            </w:tc>
          </w:tr>
          <w:tr w:rsidR="00675FD1" w14:paraId="7EBB7B2E" w14:textId="77777777">
            <w:trPr>
              <w:cantSplit/>
              <w:jc w:val="center"/>
            </w:trPr>
            <w:tc>
              <w:tcPr>
                <w:tcW w:w="3349" w:type="pct"/>
                <w:shd w:val="clear" w:color="auto" w:fill="FFFFFF"/>
                <w:tcMar>
                  <w:top w:w="15" w:type="dxa"/>
                  <w:left w:w="0" w:type="dxa"/>
                  <w:bottom w:w="0" w:type="dxa"/>
                  <w:right w:w="15" w:type="dxa"/>
                </w:tcMar>
              </w:tcPr>
              <w:p w14:paraId="3F40897F" w14:textId="77777777" w:rsidR="00675FD1" w:rsidRDefault="00675FD1" w:rsidP="00C667E2">
                <w:pPr>
                  <w:keepNext/>
                  <w:ind w:left="547"/>
                  <w:rPr>
                    <w:rFonts w:ascii="Calibri"/>
                    <w:color w:val="000000"/>
                    <w:sz w:val="20"/>
                  </w:rPr>
                </w:pPr>
                <w:r>
                  <w:rPr>
                    <w:rFonts w:ascii="Calibri"/>
                    <w:color w:val="000000"/>
                    <w:sz w:val="20"/>
                  </w:rPr>
                  <w:t>Total Deposits</w:t>
                </w:r>
              </w:p>
            </w:tc>
            <w:tc>
              <w:tcPr>
                <w:tcW w:w="81" w:type="pct"/>
                <w:shd w:val="clear" w:color="auto" w:fill="FFFFFF"/>
                <w:tcMar>
                  <w:top w:w="15" w:type="dxa"/>
                  <w:left w:w="0" w:type="dxa"/>
                  <w:bottom w:w="0" w:type="dxa"/>
                  <w:right w:w="15" w:type="dxa"/>
                </w:tcMar>
                <w:vAlign w:val="bottom"/>
              </w:tcPr>
              <w:p w14:paraId="29E7A4F4"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6AFF9FC"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18160E1E" w14:textId="77777777" w:rsidR="00675FD1" w:rsidRDefault="00675FD1" w:rsidP="00C667E2">
                <w:pPr>
                  <w:jc w:val="right"/>
                  <w:rPr>
                    <w:rFonts w:ascii="Calibri"/>
                    <w:color w:val="000000"/>
                    <w:sz w:val="20"/>
                  </w:rPr>
                </w:pPr>
                <w:r>
                  <w:rPr>
                    <w:rFonts w:ascii="Calibri"/>
                    <w:color w:val="000000"/>
                    <w:sz w:val="20"/>
                  </w:rPr>
                  <w:t>510,864,929</w:t>
                </w:r>
              </w:p>
            </w:tc>
            <w:tc>
              <w:tcPr>
                <w:tcW w:w="50" w:type="pct"/>
                <w:shd w:val="clear" w:color="auto" w:fill="FFFFFF"/>
                <w:noWrap/>
                <w:tcMar>
                  <w:top w:w="15" w:type="dxa"/>
                  <w:left w:w="0" w:type="dxa"/>
                  <w:bottom w:w="0" w:type="dxa"/>
                  <w:right w:w="15" w:type="dxa"/>
                </w:tcMar>
                <w:vAlign w:val="bottom"/>
              </w:tcPr>
              <w:p w14:paraId="21285903"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23EB7FD7"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C9413FB"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77CF327C" w14:textId="77777777" w:rsidR="00675FD1" w:rsidRDefault="00675FD1" w:rsidP="00C667E2">
                <w:pPr>
                  <w:jc w:val="right"/>
                  <w:rPr>
                    <w:rFonts w:ascii="Calibri"/>
                    <w:color w:val="000000"/>
                    <w:sz w:val="20"/>
                  </w:rPr>
                </w:pPr>
                <w:r>
                  <w:rPr>
                    <w:rFonts w:ascii="Calibri"/>
                    <w:color w:val="000000"/>
                    <w:sz w:val="20"/>
                  </w:rPr>
                  <w:t>497,749,452</w:t>
                </w:r>
              </w:p>
            </w:tc>
            <w:tc>
              <w:tcPr>
                <w:tcW w:w="50" w:type="pct"/>
                <w:shd w:val="clear" w:color="auto" w:fill="FFFFFF"/>
                <w:noWrap/>
                <w:tcMar>
                  <w:top w:w="15" w:type="dxa"/>
                  <w:left w:w="0" w:type="dxa"/>
                  <w:bottom w:w="0" w:type="dxa"/>
                  <w:right w:w="15" w:type="dxa"/>
                </w:tcMar>
                <w:vAlign w:val="bottom"/>
              </w:tcPr>
              <w:p w14:paraId="62D0C8FD" w14:textId="77777777" w:rsidR="00675FD1" w:rsidRDefault="00675FD1" w:rsidP="00C667E2">
                <w:pPr>
                  <w:rPr>
                    <w:rFonts w:ascii="Calibri"/>
                    <w:color w:val="000000"/>
                    <w:sz w:val="20"/>
                  </w:rPr>
                </w:pPr>
                <w:r>
                  <w:rPr>
                    <w:rFonts w:ascii="Calibri"/>
                    <w:color w:val="000000"/>
                    <w:sz w:val="20"/>
                  </w:rPr>
                  <w:t xml:space="preserve"> </w:t>
                </w:r>
              </w:p>
            </w:tc>
          </w:tr>
          <w:tr w:rsidR="00675FD1" w14:paraId="3740520C" w14:textId="77777777">
            <w:trPr>
              <w:cantSplit/>
              <w:jc w:val="center"/>
            </w:trPr>
            <w:tc>
              <w:tcPr>
                <w:tcW w:w="3349" w:type="pct"/>
                <w:shd w:val="clear" w:color="auto" w:fill="CFF0FC"/>
                <w:tcMar>
                  <w:top w:w="15" w:type="dxa"/>
                  <w:left w:w="0" w:type="dxa"/>
                  <w:bottom w:w="0" w:type="dxa"/>
                  <w:right w:w="15" w:type="dxa"/>
                </w:tcMar>
              </w:tcPr>
              <w:p w14:paraId="79719BC7" w14:textId="77777777" w:rsidR="00675FD1" w:rsidRDefault="00675FD1" w:rsidP="00C667E2">
                <w:pPr>
                  <w:keepNext/>
                  <w:ind w:left="274"/>
                  <w:rPr>
                    <w:rFonts w:ascii="Calibri"/>
                    <w:color w:val="000000"/>
                    <w:sz w:val="20"/>
                  </w:rPr>
                </w:pPr>
                <w:r>
                  <w:rPr>
                    <w:rFonts w:ascii="Calibri"/>
                    <w:color w:val="000000"/>
                    <w:sz w:val="20"/>
                  </w:rPr>
                  <w:t>FHLB advances</w:t>
                </w:r>
              </w:p>
            </w:tc>
            <w:tc>
              <w:tcPr>
                <w:tcW w:w="81" w:type="pct"/>
                <w:shd w:val="clear" w:color="auto" w:fill="CFF0FC"/>
                <w:tcMar>
                  <w:top w:w="15" w:type="dxa"/>
                  <w:left w:w="0" w:type="dxa"/>
                  <w:bottom w:w="0" w:type="dxa"/>
                  <w:right w:w="15" w:type="dxa"/>
                </w:tcMar>
                <w:vAlign w:val="bottom"/>
              </w:tcPr>
              <w:p w14:paraId="16721C1A"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2ACE032"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2D21B455" w14:textId="77777777" w:rsidR="00675FD1" w:rsidRDefault="00675FD1" w:rsidP="00C667E2">
                <w:pPr>
                  <w:jc w:val="right"/>
                  <w:rPr>
                    <w:rFonts w:ascii="Calibri"/>
                    <w:color w:val="000000"/>
                    <w:sz w:val="20"/>
                  </w:rPr>
                </w:pPr>
                <w:r>
                  <w:rPr>
                    <w:rFonts w:ascii="Calibri"/>
                    <w:color w:val="000000"/>
                    <w:sz w:val="20"/>
                  </w:rPr>
                  <w:t>108,147,741</w:t>
                </w:r>
              </w:p>
            </w:tc>
            <w:tc>
              <w:tcPr>
                <w:tcW w:w="50" w:type="pct"/>
                <w:shd w:val="clear" w:color="auto" w:fill="CFF0FC"/>
                <w:noWrap/>
                <w:tcMar>
                  <w:top w:w="15" w:type="dxa"/>
                  <w:left w:w="0" w:type="dxa"/>
                  <w:bottom w:w="0" w:type="dxa"/>
                  <w:right w:w="15" w:type="dxa"/>
                </w:tcMar>
                <w:vAlign w:val="bottom"/>
              </w:tcPr>
              <w:p w14:paraId="010FF660"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5C6B7E04"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2CE41B0"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5DBAC0E5" w14:textId="77777777" w:rsidR="00675FD1" w:rsidRDefault="00675FD1" w:rsidP="00C667E2">
                <w:pPr>
                  <w:jc w:val="right"/>
                  <w:rPr>
                    <w:rFonts w:ascii="Calibri"/>
                    <w:color w:val="000000"/>
                    <w:sz w:val="20"/>
                  </w:rPr>
                </w:pPr>
                <w:r>
                  <w:rPr>
                    <w:rFonts w:ascii="Calibri"/>
                    <w:color w:val="000000"/>
                    <w:sz w:val="20"/>
                  </w:rPr>
                  <w:t>97,092,484</w:t>
                </w:r>
              </w:p>
            </w:tc>
            <w:tc>
              <w:tcPr>
                <w:tcW w:w="50" w:type="pct"/>
                <w:shd w:val="clear" w:color="auto" w:fill="CFF0FC"/>
                <w:noWrap/>
                <w:tcMar>
                  <w:top w:w="15" w:type="dxa"/>
                  <w:left w:w="0" w:type="dxa"/>
                  <w:bottom w:w="0" w:type="dxa"/>
                  <w:right w:w="15" w:type="dxa"/>
                </w:tcMar>
                <w:vAlign w:val="bottom"/>
              </w:tcPr>
              <w:p w14:paraId="608707BA" w14:textId="77777777" w:rsidR="00675FD1" w:rsidRDefault="00675FD1" w:rsidP="00C667E2">
                <w:pPr>
                  <w:rPr>
                    <w:rFonts w:ascii="Calibri"/>
                    <w:color w:val="000000"/>
                    <w:sz w:val="20"/>
                  </w:rPr>
                </w:pPr>
                <w:r>
                  <w:rPr>
                    <w:rFonts w:ascii="Calibri"/>
                    <w:color w:val="000000"/>
                    <w:sz w:val="20"/>
                  </w:rPr>
                  <w:t xml:space="preserve"> </w:t>
                </w:r>
              </w:p>
            </w:tc>
          </w:tr>
          <w:tr w:rsidR="00675FD1" w14:paraId="6F551FCD" w14:textId="77777777">
            <w:trPr>
              <w:cantSplit/>
              <w:jc w:val="center"/>
            </w:trPr>
            <w:tc>
              <w:tcPr>
                <w:tcW w:w="3349" w:type="pct"/>
                <w:shd w:val="clear" w:color="auto" w:fill="FFFFFF"/>
                <w:tcMar>
                  <w:top w:w="15" w:type="dxa"/>
                  <w:left w:w="0" w:type="dxa"/>
                  <w:bottom w:w="0" w:type="dxa"/>
                  <w:right w:w="15" w:type="dxa"/>
                </w:tcMar>
              </w:tcPr>
              <w:p w14:paraId="39986A48" w14:textId="77777777" w:rsidR="00675FD1" w:rsidRDefault="00675FD1" w:rsidP="00C667E2">
                <w:pPr>
                  <w:keepNext/>
                  <w:ind w:left="274"/>
                  <w:rPr>
                    <w:rFonts w:ascii="Calibri"/>
                    <w:color w:val="000000"/>
                    <w:sz w:val="20"/>
                  </w:rPr>
                </w:pPr>
                <w:r>
                  <w:rPr>
                    <w:rFonts w:ascii="Calibri"/>
                    <w:color w:val="000000"/>
                    <w:sz w:val="20"/>
                  </w:rPr>
                  <w:t>Advance payments by borrowers for taxes and insurance</w:t>
                </w:r>
              </w:p>
            </w:tc>
            <w:tc>
              <w:tcPr>
                <w:tcW w:w="81" w:type="pct"/>
                <w:shd w:val="clear" w:color="auto" w:fill="FFFFFF"/>
                <w:tcMar>
                  <w:top w:w="15" w:type="dxa"/>
                  <w:left w:w="0" w:type="dxa"/>
                  <w:bottom w:w="0" w:type="dxa"/>
                  <w:right w:w="15" w:type="dxa"/>
                </w:tcMar>
                <w:vAlign w:val="bottom"/>
              </w:tcPr>
              <w:p w14:paraId="2732106B"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6AC9E8E"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674B8493" w14:textId="77777777" w:rsidR="00675FD1" w:rsidRDefault="00675FD1" w:rsidP="00C667E2">
                <w:pPr>
                  <w:jc w:val="right"/>
                  <w:rPr>
                    <w:rFonts w:ascii="Calibri"/>
                    <w:color w:val="000000"/>
                    <w:sz w:val="20"/>
                  </w:rPr>
                </w:pPr>
                <w:r>
                  <w:rPr>
                    <w:rFonts w:ascii="Calibri"/>
                    <w:color w:val="000000"/>
                    <w:sz w:val="20"/>
                  </w:rPr>
                  <w:t>3,265,348</w:t>
                </w:r>
              </w:p>
            </w:tc>
            <w:tc>
              <w:tcPr>
                <w:tcW w:w="50" w:type="pct"/>
                <w:shd w:val="clear" w:color="auto" w:fill="FFFFFF"/>
                <w:noWrap/>
                <w:tcMar>
                  <w:top w:w="15" w:type="dxa"/>
                  <w:left w:w="0" w:type="dxa"/>
                  <w:bottom w:w="0" w:type="dxa"/>
                  <w:right w:w="15" w:type="dxa"/>
                </w:tcMar>
                <w:vAlign w:val="bottom"/>
              </w:tcPr>
              <w:p w14:paraId="5729F72F"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7FFCA29B"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9F72107"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38BAC1D1" w14:textId="77777777" w:rsidR="00675FD1" w:rsidRDefault="00675FD1" w:rsidP="00C667E2">
                <w:pPr>
                  <w:jc w:val="right"/>
                  <w:rPr>
                    <w:rFonts w:ascii="Calibri"/>
                    <w:color w:val="000000"/>
                    <w:sz w:val="20"/>
                  </w:rPr>
                </w:pPr>
                <w:r>
                  <w:rPr>
                    <w:rFonts w:ascii="Calibri"/>
                    <w:color w:val="000000"/>
                    <w:sz w:val="20"/>
                  </w:rPr>
                  <w:t>3,191,706</w:t>
                </w:r>
              </w:p>
            </w:tc>
            <w:tc>
              <w:tcPr>
                <w:tcW w:w="50" w:type="pct"/>
                <w:shd w:val="clear" w:color="auto" w:fill="FFFFFF"/>
                <w:noWrap/>
                <w:tcMar>
                  <w:top w:w="15" w:type="dxa"/>
                  <w:left w:w="0" w:type="dxa"/>
                  <w:bottom w:w="0" w:type="dxa"/>
                  <w:right w:w="15" w:type="dxa"/>
                </w:tcMar>
                <w:vAlign w:val="bottom"/>
              </w:tcPr>
              <w:p w14:paraId="6FAA3235" w14:textId="77777777" w:rsidR="00675FD1" w:rsidRDefault="00675FD1" w:rsidP="00C667E2">
                <w:pPr>
                  <w:rPr>
                    <w:rFonts w:ascii="Calibri"/>
                    <w:color w:val="000000"/>
                    <w:sz w:val="20"/>
                  </w:rPr>
                </w:pPr>
                <w:r>
                  <w:rPr>
                    <w:rFonts w:ascii="Calibri"/>
                    <w:color w:val="000000"/>
                    <w:sz w:val="20"/>
                  </w:rPr>
                  <w:t xml:space="preserve"> </w:t>
                </w:r>
              </w:p>
            </w:tc>
          </w:tr>
          <w:tr w:rsidR="00675FD1" w14:paraId="5DF15953" w14:textId="77777777">
            <w:trPr>
              <w:cantSplit/>
              <w:jc w:val="center"/>
            </w:trPr>
            <w:tc>
              <w:tcPr>
                <w:tcW w:w="3349" w:type="pct"/>
                <w:shd w:val="clear" w:color="auto" w:fill="CFF0FC"/>
                <w:tcMar>
                  <w:top w:w="15" w:type="dxa"/>
                  <w:left w:w="0" w:type="dxa"/>
                  <w:bottom w:w="0" w:type="dxa"/>
                  <w:right w:w="15" w:type="dxa"/>
                </w:tcMar>
              </w:tcPr>
              <w:p w14:paraId="2FB1E1C0" w14:textId="77777777" w:rsidR="00675FD1" w:rsidRDefault="00675FD1" w:rsidP="00C667E2">
                <w:pPr>
                  <w:keepNext/>
                  <w:ind w:left="274"/>
                  <w:rPr>
                    <w:rFonts w:ascii="Calibri"/>
                    <w:color w:val="000000"/>
                    <w:sz w:val="20"/>
                  </w:rPr>
                </w:pPr>
                <w:r>
                  <w:rPr>
                    <w:rFonts w:ascii="Calibri"/>
                    <w:color w:val="000000"/>
                    <w:sz w:val="20"/>
                  </w:rPr>
                  <w:t>Subscription offering proceeds</w:t>
                </w:r>
              </w:p>
            </w:tc>
            <w:tc>
              <w:tcPr>
                <w:tcW w:w="81" w:type="pct"/>
                <w:shd w:val="clear" w:color="auto" w:fill="CFF0FC"/>
                <w:tcMar>
                  <w:top w:w="15" w:type="dxa"/>
                  <w:left w:w="0" w:type="dxa"/>
                  <w:bottom w:w="0" w:type="dxa"/>
                  <w:right w:w="15" w:type="dxa"/>
                </w:tcMar>
                <w:vAlign w:val="bottom"/>
              </w:tcPr>
              <w:p w14:paraId="562E5A57"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B4CA268"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55FF51B6" w14:textId="77777777" w:rsidR="00675FD1" w:rsidRDefault="00675FD1" w:rsidP="00C667E2">
                <w:pPr>
                  <w:jc w:val="right"/>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3EEE9C77"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62F569E7"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BECB99A"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43993E5C" w14:textId="77777777" w:rsidR="00675FD1" w:rsidRDefault="00675FD1" w:rsidP="00C667E2">
                <w:pPr>
                  <w:jc w:val="right"/>
                  <w:rPr>
                    <w:rFonts w:ascii="Calibri"/>
                    <w:color w:val="000000"/>
                    <w:sz w:val="20"/>
                  </w:rPr>
                </w:pPr>
                <w:r>
                  <w:rPr>
                    <w:rFonts w:ascii="Calibri"/>
                    <w:color w:val="000000"/>
                    <w:sz w:val="20"/>
                  </w:rPr>
                  <w:t>90,349,840</w:t>
                </w:r>
              </w:p>
            </w:tc>
            <w:tc>
              <w:tcPr>
                <w:tcW w:w="50" w:type="pct"/>
                <w:shd w:val="clear" w:color="auto" w:fill="CFF0FC"/>
                <w:noWrap/>
                <w:tcMar>
                  <w:top w:w="15" w:type="dxa"/>
                  <w:left w:w="0" w:type="dxa"/>
                  <w:bottom w:w="0" w:type="dxa"/>
                  <w:right w:w="15" w:type="dxa"/>
                </w:tcMar>
                <w:vAlign w:val="bottom"/>
              </w:tcPr>
              <w:p w14:paraId="68FA1B2C" w14:textId="77777777" w:rsidR="00675FD1" w:rsidRDefault="00675FD1" w:rsidP="00C667E2">
                <w:pPr>
                  <w:rPr>
                    <w:rFonts w:ascii="Calibri"/>
                    <w:color w:val="000000"/>
                    <w:sz w:val="20"/>
                  </w:rPr>
                </w:pPr>
                <w:r>
                  <w:rPr>
                    <w:rFonts w:ascii="Calibri"/>
                    <w:color w:val="000000"/>
                    <w:sz w:val="20"/>
                  </w:rPr>
                  <w:t xml:space="preserve"> </w:t>
                </w:r>
              </w:p>
            </w:tc>
          </w:tr>
          <w:tr w:rsidR="00675FD1" w14:paraId="49FDDB63" w14:textId="77777777">
            <w:trPr>
              <w:cantSplit/>
              <w:jc w:val="center"/>
            </w:trPr>
            <w:tc>
              <w:tcPr>
                <w:tcW w:w="3349" w:type="pct"/>
                <w:shd w:val="clear" w:color="auto" w:fill="FFFFFF"/>
                <w:tcMar>
                  <w:top w:w="15" w:type="dxa"/>
                  <w:left w:w="0" w:type="dxa"/>
                  <w:bottom w:w="0" w:type="dxa"/>
                  <w:right w:w="15" w:type="dxa"/>
                </w:tcMar>
              </w:tcPr>
              <w:p w14:paraId="0EFCA60A" w14:textId="77777777" w:rsidR="00675FD1" w:rsidRDefault="00675FD1" w:rsidP="00C667E2">
                <w:pPr>
                  <w:keepNext/>
                  <w:ind w:left="274"/>
                  <w:rPr>
                    <w:rFonts w:ascii="Calibri"/>
                    <w:color w:val="000000"/>
                    <w:sz w:val="20"/>
                  </w:rPr>
                </w:pPr>
                <w:r>
                  <w:rPr>
                    <w:rFonts w:ascii="Calibri"/>
                    <w:color w:val="000000"/>
                    <w:sz w:val="20"/>
                  </w:rPr>
                  <w:t>Other liabilities</w:t>
                </w:r>
              </w:p>
            </w:tc>
            <w:tc>
              <w:tcPr>
                <w:tcW w:w="81" w:type="pct"/>
                <w:shd w:val="clear" w:color="auto" w:fill="FFFFFF"/>
                <w:tcMar>
                  <w:top w:w="15" w:type="dxa"/>
                  <w:left w:w="0" w:type="dxa"/>
                  <w:bottom w:w="0" w:type="dxa"/>
                  <w:right w:w="15" w:type="dxa"/>
                </w:tcMar>
                <w:vAlign w:val="bottom"/>
              </w:tcPr>
              <w:p w14:paraId="0D7A7BCB"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EEBCA07"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26B2399F" w14:textId="77777777" w:rsidR="00675FD1" w:rsidRDefault="00675FD1" w:rsidP="00C667E2">
                <w:pPr>
                  <w:jc w:val="right"/>
                  <w:rPr>
                    <w:rFonts w:ascii="Calibri"/>
                    <w:color w:val="000000"/>
                    <w:sz w:val="20"/>
                  </w:rPr>
                </w:pPr>
                <w:r>
                  <w:rPr>
                    <w:rFonts w:ascii="Calibri"/>
                    <w:color w:val="000000"/>
                    <w:sz w:val="20"/>
                  </w:rPr>
                  <w:t>3,826,120</w:t>
                </w:r>
              </w:p>
            </w:tc>
            <w:tc>
              <w:tcPr>
                <w:tcW w:w="50" w:type="pct"/>
                <w:shd w:val="clear" w:color="auto" w:fill="FFFFFF"/>
                <w:noWrap/>
                <w:tcMar>
                  <w:top w:w="15" w:type="dxa"/>
                  <w:left w:w="0" w:type="dxa"/>
                  <w:bottom w:w="0" w:type="dxa"/>
                  <w:right w:w="15" w:type="dxa"/>
                </w:tcMar>
                <w:vAlign w:val="bottom"/>
              </w:tcPr>
              <w:p w14:paraId="1E5962C1"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662E3F5B"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7417D92"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467B1903" w14:textId="77777777" w:rsidR="00675FD1" w:rsidRDefault="00675FD1" w:rsidP="00C667E2">
                <w:pPr>
                  <w:jc w:val="right"/>
                  <w:rPr>
                    <w:rFonts w:ascii="Calibri"/>
                    <w:color w:val="000000"/>
                    <w:sz w:val="20"/>
                  </w:rPr>
                </w:pPr>
                <w:r>
                  <w:rPr>
                    <w:rFonts w:ascii="Calibri"/>
                    <w:color w:val="000000"/>
                    <w:sz w:val="20"/>
                  </w:rPr>
                  <w:t>3,250,925</w:t>
                </w:r>
              </w:p>
            </w:tc>
            <w:tc>
              <w:tcPr>
                <w:tcW w:w="50" w:type="pct"/>
                <w:shd w:val="clear" w:color="auto" w:fill="FFFFFF"/>
                <w:noWrap/>
                <w:tcMar>
                  <w:top w:w="15" w:type="dxa"/>
                  <w:left w:w="0" w:type="dxa"/>
                  <w:bottom w:w="0" w:type="dxa"/>
                  <w:right w:w="15" w:type="dxa"/>
                </w:tcMar>
                <w:vAlign w:val="bottom"/>
              </w:tcPr>
              <w:p w14:paraId="7B7B7329" w14:textId="77777777" w:rsidR="00675FD1" w:rsidRDefault="00675FD1" w:rsidP="00C667E2">
                <w:pPr>
                  <w:rPr>
                    <w:rFonts w:ascii="Calibri"/>
                    <w:color w:val="000000"/>
                    <w:sz w:val="20"/>
                  </w:rPr>
                </w:pPr>
                <w:r>
                  <w:rPr>
                    <w:rFonts w:ascii="Calibri"/>
                    <w:color w:val="000000"/>
                    <w:sz w:val="20"/>
                  </w:rPr>
                  <w:t xml:space="preserve"> </w:t>
                </w:r>
              </w:p>
            </w:tc>
          </w:tr>
          <w:tr w:rsidR="00675FD1" w14:paraId="21D49FD5" w14:textId="77777777">
            <w:trPr>
              <w:cantSplit/>
              <w:jc w:val="center"/>
            </w:trPr>
            <w:tc>
              <w:tcPr>
                <w:tcW w:w="3349" w:type="pct"/>
                <w:shd w:val="clear" w:color="auto" w:fill="CFF0FC"/>
                <w:tcMar>
                  <w:top w:w="15" w:type="dxa"/>
                  <w:left w:w="0" w:type="dxa"/>
                  <w:bottom w:w="0" w:type="dxa"/>
                  <w:right w:w="15" w:type="dxa"/>
                </w:tcMar>
              </w:tcPr>
              <w:p w14:paraId="2AD64998" w14:textId="77777777" w:rsidR="00675FD1" w:rsidRDefault="00675FD1" w:rsidP="00C667E2">
                <w:pPr>
                  <w:keepNext/>
                  <w:ind w:left="547"/>
                  <w:rPr>
                    <w:rFonts w:ascii="Calibri"/>
                    <w:color w:val="000000"/>
                    <w:sz w:val="20"/>
                  </w:rPr>
                </w:pPr>
                <w:r>
                  <w:rPr>
                    <w:rFonts w:ascii="Calibri"/>
                    <w:color w:val="000000"/>
                    <w:sz w:val="20"/>
                  </w:rPr>
                  <w:t>Total liabilities</w:t>
                </w:r>
              </w:p>
            </w:tc>
            <w:tc>
              <w:tcPr>
                <w:tcW w:w="81" w:type="pct"/>
                <w:shd w:val="clear" w:color="auto" w:fill="CFF0FC"/>
                <w:tcMar>
                  <w:top w:w="15" w:type="dxa"/>
                  <w:left w:w="0" w:type="dxa"/>
                  <w:bottom w:w="0" w:type="dxa"/>
                  <w:right w:w="15" w:type="dxa"/>
                </w:tcMar>
                <w:vAlign w:val="bottom"/>
              </w:tcPr>
              <w:p w14:paraId="79D223E2"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DB782E0"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42482E5" w14:textId="77777777" w:rsidR="00675FD1" w:rsidRDefault="00675FD1" w:rsidP="00C667E2">
                <w:pPr>
                  <w:jc w:val="right"/>
                  <w:rPr>
                    <w:rFonts w:ascii="Calibri"/>
                    <w:color w:val="000000"/>
                    <w:sz w:val="20"/>
                  </w:rPr>
                </w:pPr>
                <w:r>
                  <w:rPr>
                    <w:rFonts w:ascii="Calibri"/>
                    <w:color w:val="000000"/>
                    <w:sz w:val="20"/>
                  </w:rPr>
                  <w:t>626,104,138</w:t>
                </w:r>
              </w:p>
            </w:tc>
            <w:tc>
              <w:tcPr>
                <w:tcW w:w="50" w:type="pct"/>
                <w:shd w:val="clear" w:color="auto" w:fill="CFF0FC"/>
                <w:noWrap/>
                <w:tcMar>
                  <w:top w:w="15" w:type="dxa"/>
                  <w:left w:w="0" w:type="dxa"/>
                  <w:bottom w:w="0" w:type="dxa"/>
                  <w:right w:w="15" w:type="dxa"/>
                </w:tcMar>
                <w:vAlign w:val="bottom"/>
              </w:tcPr>
              <w:p w14:paraId="17BE7BE3"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01A36E23"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5C4F0CE"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F57029B" w14:textId="77777777" w:rsidR="00675FD1" w:rsidRDefault="00675FD1" w:rsidP="00C667E2">
                <w:pPr>
                  <w:jc w:val="right"/>
                  <w:rPr>
                    <w:rFonts w:ascii="Calibri"/>
                    <w:color w:val="000000"/>
                    <w:sz w:val="20"/>
                  </w:rPr>
                </w:pPr>
                <w:r>
                  <w:rPr>
                    <w:rFonts w:ascii="Calibri"/>
                    <w:color w:val="000000"/>
                    <w:sz w:val="20"/>
                  </w:rPr>
                  <w:t>691,634,407</w:t>
                </w:r>
              </w:p>
            </w:tc>
            <w:tc>
              <w:tcPr>
                <w:tcW w:w="50" w:type="pct"/>
                <w:shd w:val="clear" w:color="auto" w:fill="CFF0FC"/>
                <w:noWrap/>
                <w:tcMar>
                  <w:top w:w="15" w:type="dxa"/>
                  <w:left w:w="0" w:type="dxa"/>
                  <w:bottom w:w="0" w:type="dxa"/>
                  <w:right w:w="15" w:type="dxa"/>
                </w:tcMar>
                <w:vAlign w:val="bottom"/>
              </w:tcPr>
              <w:p w14:paraId="680BA562" w14:textId="77777777" w:rsidR="00675FD1" w:rsidRDefault="00675FD1" w:rsidP="00C667E2">
                <w:pPr>
                  <w:rPr>
                    <w:rFonts w:ascii="Calibri"/>
                    <w:color w:val="000000"/>
                    <w:sz w:val="20"/>
                  </w:rPr>
                </w:pPr>
                <w:r>
                  <w:rPr>
                    <w:rFonts w:ascii="Calibri"/>
                    <w:color w:val="000000"/>
                    <w:sz w:val="20"/>
                  </w:rPr>
                  <w:t xml:space="preserve"> </w:t>
                </w:r>
              </w:p>
            </w:tc>
          </w:tr>
          <w:tr w:rsidR="00675FD1" w14:paraId="50314440" w14:textId="77777777">
            <w:trPr>
              <w:cantSplit/>
              <w:jc w:val="center"/>
            </w:trPr>
            <w:tc>
              <w:tcPr>
                <w:tcW w:w="3349" w:type="pct"/>
                <w:shd w:val="clear" w:color="auto" w:fill="FFFFFF"/>
                <w:tcMar>
                  <w:top w:w="15" w:type="dxa"/>
                  <w:left w:w="0" w:type="dxa"/>
                  <w:bottom w:w="0" w:type="dxa"/>
                  <w:right w:w="15" w:type="dxa"/>
                </w:tcMar>
              </w:tcPr>
              <w:p w14:paraId="75047230" w14:textId="77777777" w:rsidR="00675FD1" w:rsidRDefault="00675FD1" w:rsidP="00C667E2">
                <w:pPr>
                  <w:keepNext/>
                  <w:rPr>
                    <w:rFonts w:ascii="Calibri"/>
                    <w:color w:val="000000"/>
                    <w:sz w:val="20"/>
                  </w:rPr>
                </w:pPr>
                <w:r>
                  <w:rPr>
                    <w:rFonts w:ascii="Calibri"/>
                    <w:color w:val="000000"/>
                    <w:sz w:val="20"/>
                  </w:rPr>
                  <w:t>Commitments and Contingencies-see note 5</w:t>
                </w:r>
              </w:p>
            </w:tc>
            <w:tc>
              <w:tcPr>
                <w:tcW w:w="81" w:type="pct"/>
                <w:shd w:val="clear" w:color="auto" w:fill="FFFFFF"/>
                <w:tcMar>
                  <w:top w:w="15" w:type="dxa"/>
                  <w:left w:w="0" w:type="dxa"/>
                  <w:bottom w:w="0" w:type="dxa"/>
                  <w:right w:w="15" w:type="dxa"/>
                </w:tcMar>
                <w:vAlign w:val="bottom"/>
              </w:tcPr>
              <w:p w14:paraId="469D840A"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3DF3CFD"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46338915" w14:textId="77777777" w:rsidR="00675FD1" w:rsidRDefault="00675FD1" w:rsidP="00C667E2">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21EB5EF"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2F365A5B"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335284E"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39580A9C" w14:textId="77777777" w:rsidR="00675FD1" w:rsidRDefault="00675FD1" w:rsidP="00C667E2">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19BC716" w14:textId="77777777" w:rsidR="00675FD1" w:rsidRDefault="00675FD1" w:rsidP="00C667E2">
                <w:pPr>
                  <w:rPr>
                    <w:rFonts w:ascii="Calibri"/>
                    <w:color w:val="000000"/>
                    <w:sz w:val="20"/>
                  </w:rPr>
                </w:pPr>
                <w:r>
                  <w:rPr>
                    <w:rFonts w:ascii="Calibri"/>
                    <w:color w:val="000000"/>
                    <w:sz w:val="20"/>
                  </w:rPr>
                  <w:t xml:space="preserve"> </w:t>
                </w:r>
              </w:p>
            </w:tc>
          </w:tr>
          <w:tr w:rsidR="00675FD1" w14:paraId="40370D65" w14:textId="77777777">
            <w:trPr>
              <w:cantSplit/>
              <w:jc w:val="center"/>
            </w:trPr>
            <w:tc>
              <w:tcPr>
                <w:tcW w:w="3349" w:type="pct"/>
                <w:shd w:val="clear" w:color="auto" w:fill="CFF0FC"/>
                <w:tcMar>
                  <w:top w:w="15" w:type="dxa"/>
                  <w:left w:w="0" w:type="dxa"/>
                  <w:bottom w:w="0" w:type="dxa"/>
                  <w:right w:w="15" w:type="dxa"/>
                </w:tcMar>
              </w:tcPr>
              <w:p w14:paraId="0D141A01" w14:textId="77777777" w:rsidR="00675FD1" w:rsidRDefault="00675FD1" w:rsidP="00C667E2">
                <w:pPr>
                  <w:keepNext/>
                  <w:rPr>
                    <w:rFonts w:ascii="Calibri"/>
                    <w:color w:val="000000"/>
                    <w:sz w:val="20"/>
                  </w:rPr>
                </w:pPr>
                <w:r>
                  <w:rPr>
                    <w:rFonts w:ascii="Calibri"/>
                    <w:color w:val="000000"/>
                    <w:sz w:val="20"/>
                  </w:rPr>
                  <w:t>Stockholders</w:t>
                </w:r>
                <w:r>
                  <w:rPr>
                    <w:rFonts w:ascii="Calibri"/>
                    <w:color w:val="000000"/>
                    <w:sz w:val="20"/>
                  </w:rPr>
                  <w:t>’</w:t>
                </w:r>
                <w:r>
                  <w:rPr>
                    <w:rFonts w:ascii="Calibri"/>
                    <w:color w:val="000000"/>
                    <w:sz w:val="20"/>
                  </w:rPr>
                  <w:t xml:space="preserve"> Equity</w:t>
                </w:r>
              </w:p>
            </w:tc>
            <w:tc>
              <w:tcPr>
                <w:tcW w:w="81" w:type="pct"/>
                <w:shd w:val="clear" w:color="auto" w:fill="CFF0FC"/>
                <w:tcMar>
                  <w:top w:w="15" w:type="dxa"/>
                  <w:left w:w="0" w:type="dxa"/>
                  <w:bottom w:w="0" w:type="dxa"/>
                  <w:right w:w="15" w:type="dxa"/>
                </w:tcMar>
                <w:vAlign w:val="bottom"/>
              </w:tcPr>
              <w:p w14:paraId="573653A1"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A333B53"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7A77D84F" w14:textId="77777777" w:rsidR="00675FD1" w:rsidRDefault="00675FD1" w:rsidP="00C667E2">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2B243E3"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6BE33899"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6FF3D52"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08E03075" w14:textId="77777777" w:rsidR="00675FD1" w:rsidRDefault="00675FD1" w:rsidP="00C667E2">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BAFBECA" w14:textId="77777777" w:rsidR="00675FD1" w:rsidRDefault="00675FD1" w:rsidP="00C667E2">
                <w:pPr>
                  <w:rPr>
                    <w:rFonts w:ascii="Calibri"/>
                    <w:color w:val="000000"/>
                    <w:sz w:val="20"/>
                  </w:rPr>
                </w:pPr>
                <w:r>
                  <w:rPr>
                    <w:rFonts w:ascii="Calibri"/>
                    <w:color w:val="000000"/>
                    <w:sz w:val="20"/>
                  </w:rPr>
                  <w:t xml:space="preserve"> </w:t>
                </w:r>
              </w:p>
            </w:tc>
          </w:tr>
          <w:tr w:rsidR="00675FD1" w14:paraId="2461FCCD" w14:textId="77777777">
            <w:trPr>
              <w:cantSplit/>
              <w:jc w:val="center"/>
            </w:trPr>
            <w:tc>
              <w:tcPr>
                <w:tcW w:w="3349" w:type="pct"/>
                <w:shd w:val="clear" w:color="auto" w:fill="FFFFFF"/>
                <w:tcMar>
                  <w:top w:w="15" w:type="dxa"/>
                  <w:left w:w="0" w:type="dxa"/>
                  <w:bottom w:w="0" w:type="dxa"/>
                  <w:right w:w="15" w:type="dxa"/>
                </w:tcMar>
              </w:tcPr>
              <w:p w14:paraId="1B09B682" w14:textId="77777777" w:rsidR="00675FD1" w:rsidRDefault="00675FD1">
                <w:pPr>
                  <w:keepNext/>
                  <w:ind w:left="274"/>
                  <w:rPr>
                    <w:rFonts w:ascii="Calibri"/>
                    <w:color w:val="000000"/>
                    <w:sz w:val="20"/>
                  </w:rPr>
                </w:pPr>
                <w:r>
                  <w:rPr>
                    <w:rFonts w:ascii="Calibri"/>
                    <w:color w:val="000000"/>
                    <w:sz w:val="20"/>
                  </w:rPr>
                  <w:t>Preferred stock $0.01 par value 1,000,000 shares authorized, none issued</w:t>
                </w:r>
              </w:p>
              <w:p w14:paraId="5EAB5265" w14:textId="77777777" w:rsidR="00675FD1" w:rsidRDefault="00675FD1">
                <w:pPr>
                  <w:ind w:left="274"/>
                </w:pPr>
                <w:r>
                  <w:rPr>
                    <w:rFonts w:ascii="Calibri"/>
                    <w:color w:val="000000"/>
                    <w:sz w:val="20"/>
                  </w:rPr>
                  <w:t xml:space="preserve">   and outstanding at September 30, 2020</w:t>
                </w:r>
              </w:p>
            </w:tc>
            <w:tc>
              <w:tcPr>
                <w:tcW w:w="81" w:type="pct"/>
                <w:shd w:val="clear" w:color="auto" w:fill="FFFFFF"/>
                <w:tcMar>
                  <w:top w:w="15" w:type="dxa"/>
                  <w:left w:w="0" w:type="dxa"/>
                  <w:bottom w:w="0" w:type="dxa"/>
                  <w:right w:w="15" w:type="dxa"/>
                </w:tcMar>
                <w:vAlign w:val="bottom"/>
              </w:tcPr>
              <w:p w14:paraId="6D84DD3B"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D2819E5"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26762A9A" w14:textId="77777777" w:rsidR="00675FD1" w:rsidRDefault="00675FD1" w:rsidP="00C667E2">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1E4D2991"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11406E6E"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FD921C3"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77F131B1" w14:textId="77777777" w:rsidR="00675FD1" w:rsidRDefault="00675FD1" w:rsidP="00C667E2">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7B0C5D3E" w14:textId="77777777" w:rsidR="00675FD1" w:rsidRDefault="00675FD1" w:rsidP="00C667E2">
                <w:pPr>
                  <w:rPr>
                    <w:rFonts w:ascii="Calibri"/>
                    <w:color w:val="000000"/>
                    <w:sz w:val="20"/>
                  </w:rPr>
                </w:pPr>
                <w:r>
                  <w:rPr>
                    <w:rFonts w:ascii="Calibri"/>
                    <w:color w:val="000000"/>
                    <w:sz w:val="20"/>
                  </w:rPr>
                  <w:t xml:space="preserve"> </w:t>
                </w:r>
              </w:p>
            </w:tc>
          </w:tr>
          <w:tr w:rsidR="00675FD1" w14:paraId="61928127" w14:textId="77777777">
            <w:trPr>
              <w:cantSplit/>
              <w:jc w:val="center"/>
            </w:trPr>
            <w:tc>
              <w:tcPr>
                <w:tcW w:w="3349" w:type="pct"/>
                <w:shd w:val="clear" w:color="auto" w:fill="CFF0FC"/>
                <w:tcMar>
                  <w:top w:w="15" w:type="dxa"/>
                  <w:left w:w="0" w:type="dxa"/>
                  <w:bottom w:w="0" w:type="dxa"/>
                  <w:right w:w="15" w:type="dxa"/>
                </w:tcMar>
              </w:tcPr>
              <w:p w14:paraId="5E2BFFE4" w14:textId="77777777" w:rsidR="00675FD1" w:rsidRDefault="00675FD1" w:rsidP="00C667E2">
                <w:pPr>
                  <w:keepNext/>
                  <w:ind w:left="274"/>
                  <w:rPr>
                    <w:rFonts w:ascii="Calibri"/>
                    <w:color w:val="000000"/>
                    <w:sz w:val="20"/>
                  </w:rPr>
                </w:pPr>
                <w:r>
                  <w:rPr>
                    <w:rFonts w:ascii="Calibri"/>
                    <w:color w:val="000000"/>
                    <w:sz w:val="20"/>
                  </w:rPr>
                  <w:t>Common stock $0.01 par value, 30,000,000 shares authorized, 13,157,525</w:t>
                </w:r>
              </w:p>
              <w:p w14:paraId="5904A93D" w14:textId="77777777" w:rsidR="00675FD1" w:rsidRDefault="00675FD1" w:rsidP="00C667E2">
                <w:pPr>
                  <w:ind w:left="274"/>
                </w:pPr>
                <w:r>
                  <w:rPr>
                    <w:rFonts w:ascii="Calibri"/>
                    <w:color w:val="000000"/>
                    <w:sz w:val="20"/>
                  </w:rPr>
                  <w:t xml:space="preserve">   issued and outstanding at September 30, 2020</w:t>
                </w:r>
              </w:p>
            </w:tc>
            <w:tc>
              <w:tcPr>
                <w:tcW w:w="81" w:type="pct"/>
                <w:shd w:val="clear" w:color="auto" w:fill="CFF0FC"/>
                <w:tcMar>
                  <w:top w:w="15" w:type="dxa"/>
                  <w:left w:w="0" w:type="dxa"/>
                  <w:bottom w:w="0" w:type="dxa"/>
                  <w:right w:w="15" w:type="dxa"/>
                </w:tcMar>
                <w:vAlign w:val="bottom"/>
              </w:tcPr>
              <w:p w14:paraId="22DD7A14"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5A120D7"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3175AE33" w14:textId="77777777" w:rsidR="00675FD1" w:rsidRDefault="00675FD1" w:rsidP="00C667E2">
                <w:pPr>
                  <w:jc w:val="right"/>
                  <w:rPr>
                    <w:rFonts w:ascii="Calibri"/>
                    <w:color w:val="000000"/>
                    <w:sz w:val="20"/>
                  </w:rPr>
                </w:pPr>
                <w:r>
                  <w:rPr>
                    <w:rFonts w:ascii="Calibri"/>
                    <w:color w:val="000000"/>
                    <w:sz w:val="20"/>
                  </w:rPr>
                  <w:t>131,575</w:t>
                </w:r>
              </w:p>
            </w:tc>
            <w:tc>
              <w:tcPr>
                <w:tcW w:w="50" w:type="pct"/>
                <w:shd w:val="clear" w:color="auto" w:fill="CFF0FC"/>
                <w:noWrap/>
                <w:tcMar>
                  <w:top w:w="15" w:type="dxa"/>
                  <w:left w:w="0" w:type="dxa"/>
                  <w:bottom w:w="0" w:type="dxa"/>
                  <w:right w:w="15" w:type="dxa"/>
                </w:tcMar>
                <w:vAlign w:val="bottom"/>
              </w:tcPr>
              <w:p w14:paraId="0AA8A90E"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036A3F5A"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E0D1B31"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77D8E2D1" w14:textId="77777777" w:rsidR="00675FD1" w:rsidRDefault="00675FD1" w:rsidP="00C667E2">
                <w:pPr>
                  <w:jc w:val="right"/>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568258B8" w14:textId="77777777" w:rsidR="00675FD1" w:rsidRDefault="00675FD1" w:rsidP="00C667E2">
                <w:pPr>
                  <w:rPr>
                    <w:rFonts w:ascii="Calibri"/>
                    <w:color w:val="000000"/>
                    <w:sz w:val="20"/>
                  </w:rPr>
                </w:pPr>
                <w:r>
                  <w:rPr>
                    <w:rFonts w:ascii="Calibri"/>
                    <w:color w:val="000000"/>
                    <w:sz w:val="20"/>
                  </w:rPr>
                  <w:t xml:space="preserve"> </w:t>
                </w:r>
              </w:p>
            </w:tc>
          </w:tr>
          <w:tr w:rsidR="00675FD1" w14:paraId="6860D1F2" w14:textId="77777777">
            <w:trPr>
              <w:cantSplit/>
              <w:jc w:val="center"/>
            </w:trPr>
            <w:tc>
              <w:tcPr>
                <w:tcW w:w="3349" w:type="pct"/>
                <w:shd w:val="clear" w:color="auto" w:fill="FFFFFF"/>
                <w:tcMar>
                  <w:top w:w="15" w:type="dxa"/>
                  <w:left w:w="0" w:type="dxa"/>
                  <w:bottom w:w="0" w:type="dxa"/>
                  <w:right w:w="15" w:type="dxa"/>
                </w:tcMar>
              </w:tcPr>
              <w:p w14:paraId="4C71AE1A" w14:textId="77777777" w:rsidR="00675FD1" w:rsidRDefault="00675FD1" w:rsidP="00C667E2">
                <w:pPr>
                  <w:keepNext/>
                  <w:ind w:left="274"/>
                  <w:rPr>
                    <w:rFonts w:ascii="Calibri"/>
                    <w:color w:val="000000"/>
                    <w:sz w:val="20"/>
                  </w:rPr>
                </w:pPr>
                <w:r>
                  <w:rPr>
                    <w:rFonts w:ascii="Calibri"/>
                    <w:color w:val="000000"/>
                    <w:sz w:val="20"/>
                  </w:rPr>
                  <w:t>Additional Paid-In capital</w:t>
                </w:r>
              </w:p>
            </w:tc>
            <w:tc>
              <w:tcPr>
                <w:tcW w:w="81" w:type="pct"/>
                <w:shd w:val="clear" w:color="auto" w:fill="FFFFFF"/>
                <w:tcMar>
                  <w:top w:w="15" w:type="dxa"/>
                  <w:left w:w="0" w:type="dxa"/>
                  <w:bottom w:w="0" w:type="dxa"/>
                  <w:right w:w="15" w:type="dxa"/>
                </w:tcMar>
                <w:vAlign w:val="bottom"/>
              </w:tcPr>
              <w:p w14:paraId="4030FBBA"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235F812"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5B7A9AC9" w14:textId="77777777" w:rsidR="00675FD1" w:rsidRDefault="00675FD1" w:rsidP="00C667E2">
                <w:pPr>
                  <w:jc w:val="right"/>
                  <w:rPr>
                    <w:rFonts w:ascii="Calibri"/>
                    <w:color w:val="000000"/>
                    <w:sz w:val="20"/>
                  </w:rPr>
                </w:pPr>
                <w:r>
                  <w:rPr>
                    <w:rFonts w:ascii="Calibri"/>
                    <w:color w:val="000000"/>
                    <w:sz w:val="20"/>
                  </w:rPr>
                  <w:t>56,996,307</w:t>
                </w:r>
              </w:p>
            </w:tc>
            <w:tc>
              <w:tcPr>
                <w:tcW w:w="50" w:type="pct"/>
                <w:shd w:val="clear" w:color="auto" w:fill="FFFFFF"/>
                <w:noWrap/>
                <w:tcMar>
                  <w:top w:w="15" w:type="dxa"/>
                  <w:left w:w="0" w:type="dxa"/>
                  <w:bottom w:w="0" w:type="dxa"/>
                  <w:right w:w="15" w:type="dxa"/>
                </w:tcMar>
                <w:vAlign w:val="bottom"/>
              </w:tcPr>
              <w:p w14:paraId="0990FF78"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1AA54808"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51C91F8A"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2BCBD9A9" w14:textId="77777777" w:rsidR="00675FD1" w:rsidRDefault="00675FD1" w:rsidP="00C667E2">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4669EAC8" w14:textId="77777777" w:rsidR="00675FD1" w:rsidRDefault="00675FD1" w:rsidP="00C667E2">
                <w:pPr>
                  <w:rPr>
                    <w:rFonts w:ascii="Calibri"/>
                    <w:color w:val="000000"/>
                    <w:sz w:val="20"/>
                  </w:rPr>
                </w:pPr>
                <w:r>
                  <w:rPr>
                    <w:rFonts w:ascii="Calibri"/>
                    <w:color w:val="000000"/>
                    <w:sz w:val="20"/>
                  </w:rPr>
                  <w:t xml:space="preserve"> </w:t>
                </w:r>
              </w:p>
            </w:tc>
          </w:tr>
          <w:tr w:rsidR="00675FD1" w14:paraId="55A52DB7" w14:textId="77777777">
            <w:trPr>
              <w:cantSplit/>
              <w:jc w:val="center"/>
            </w:trPr>
            <w:tc>
              <w:tcPr>
                <w:tcW w:w="3349" w:type="pct"/>
                <w:shd w:val="clear" w:color="auto" w:fill="CFF0FC"/>
                <w:tcMar>
                  <w:top w:w="15" w:type="dxa"/>
                  <w:left w:w="0" w:type="dxa"/>
                  <w:bottom w:w="0" w:type="dxa"/>
                  <w:right w:w="15" w:type="dxa"/>
                </w:tcMar>
              </w:tcPr>
              <w:p w14:paraId="65632234" w14:textId="77777777" w:rsidR="00675FD1" w:rsidRDefault="00675FD1" w:rsidP="00C667E2">
                <w:pPr>
                  <w:keepNext/>
                  <w:ind w:left="274"/>
                  <w:rPr>
                    <w:rFonts w:ascii="Calibri"/>
                    <w:color w:val="000000"/>
                    <w:sz w:val="20"/>
                  </w:rPr>
                </w:pPr>
                <w:r>
                  <w:rPr>
                    <w:rFonts w:ascii="Calibri"/>
                    <w:color w:val="000000"/>
                    <w:sz w:val="20"/>
                  </w:rPr>
                  <w:t>Retained earnings</w:t>
                </w:r>
              </w:p>
            </w:tc>
            <w:tc>
              <w:tcPr>
                <w:tcW w:w="81" w:type="pct"/>
                <w:shd w:val="clear" w:color="auto" w:fill="CFF0FC"/>
                <w:tcMar>
                  <w:top w:w="15" w:type="dxa"/>
                  <w:left w:w="0" w:type="dxa"/>
                  <w:bottom w:w="0" w:type="dxa"/>
                  <w:right w:w="15" w:type="dxa"/>
                </w:tcMar>
                <w:vAlign w:val="bottom"/>
              </w:tcPr>
              <w:p w14:paraId="2724174F"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E9EF330"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22E448D6" w14:textId="77777777" w:rsidR="00675FD1" w:rsidRDefault="00675FD1" w:rsidP="00C667E2">
                <w:pPr>
                  <w:jc w:val="right"/>
                  <w:rPr>
                    <w:rFonts w:ascii="Calibri"/>
                    <w:color w:val="000000"/>
                    <w:sz w:val="20"/>
                  </w:rPr>
                </w:pPr>
                <w:r>
                  <w:rPr>
                    <w:rFonts w:ascii="Calibri"/>
                    <w:color w:val="000000"/>
                    <w:sz w:val="20"/>
                  </w:rPr>
                  <w:t>76,313,418</w:t>
                </w:r>
              </w:p>
            </w:tc>
            <w:tc>
              <w:tcPr>
                <w:tcW w:w="50" w:type="pct"/>
                <w:shd w:val="clear" w:color="auto" w:fill="CFF0FC"/>
                <w:noWrap/>
                <w:tcMar>
                  <w:top w:w="15" w:type="dxa"/>
                  <w:left w:w="0" w:type="dxa"/>
                  <w:bottom w:w="0" w:type="dxa"/>
                  <w:right w:w="15" w:type="dxa"/>
                </w:tcMar>
                <w:vAlign w:val="bottom"/>
              </w:tcPr>
              <w:p w14:paraId="2ACB0FC3"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4B287365"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9DFD570"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CFF0FC"/>
                <w:noWrap/>
                <w:tcMar>
                  <w:top w:w="15" w:type="dxa"/>
                  <w:left w:w="0" w:type="dxa"/>
                  <w:bottom w:w="0" w:type="dxa"/>
                  <w:right w:w="15" w:type="dxa"/>
                </w:tcMar>
                <w:vAlign w:val="bottom"/>
              </w:tcPr>
              <w:p w14:paraId="4B0C0B2B" w14:textId="77777777" w:rsidR="00675FD1" w:rsidRDefault="00675FD1" w:rsidP="00C667E2">
                <w:pPr>
                  <w:jc w:val="right"/>
                  <w:rPr>
                    <w:rFonts w:ascii="Calibri"/>
                    <w:color w:val="000000"/>
                    <w:sz w:val="20"/>
                  </w:rPr>
                </w:pPr>
                <w:r>
                  <w:rPr>
                    <w:rFonts w:ascii="Calibri"/>
                    <w:color w:val="000000"/>
                    <w:sz w:val="20"/>
                  </w:rPr>
                  <w:t>75,291,512</w:t>
                </w:r>
              </w:p>
            </w:tc>
            <w:tc>
              <w:tcPr>
                <w:tcW w:w="50" w:type="pct"/>
                <w:shd w:val="clear" w:color="auto" w:fill="CFF0FC"/>
                <w:noWrap/>
                <w:tcMar>
                  <w:top w:w="15" w:type="dxa"/>
                  <w:left w:w="0" w:type="dxa"/>
                  <w:bottom w:w="0" w:type="dxa"/>
                  <w:right w:w="15" w:type="dxa"/>
                </w:tcMar>
                <w:vAlign w:val="bottom"/>
              </w:tcPr>
              <w:p w14:paraId="28155686" w14:textId="77777777" w:rsidR="00675FD1" w:rsidRDefault="00675FD1" w:rsidP="00C667E2">
                <w:pPr>
                  <w:rPr>
                    <w:rFonts w:ascii="Calibri"/>
                    <w:color w:val="000000"/>
                    <w:sz w:val="20"/>
                  </w:rPr>
                </w:pPr>
                <w:r>
                  <w:rPr>
                    <w:rFonts w:ascii="Calibri"/>
                    <w:color w:val="000000"/>
                    <w:sz w:val="20"/>
                  </w:rPr>
                  <w:t xml:space="preserve"> </w:t>
                </w:r>
              </w:p>
            </w:tc>
          </w:tr>
          <w:tr w:rsidR="00675FD1" w14:paraId="6C7AE7A0" w14:textId="77777777">
            <w:trPr>
              <w:cantSplit/>
              <w:jc w:val="center"/>
            </w:trPr>
            <w:tc>
              <w:tcPr>
                <w:tcW w:w="3349" w:type="pct"/>
                <w:shd w:val="clear" w:color="auto" w:fill="FFFFFF"/>
                <w:tcMar>
                  <w:top w:w="15" w:type="dxa"/>
                  <w:left w:w="0" w:type="dxa"/>
                  <w:bottom w:w="0" w:type="dxa"/>
                  <w:right w:w="15" w:type="dxa"/>
                </w:tcMar>
              </w:tcPr>
              <w:p w14:paraId="3CD7B9EB" w14:textId="77777777" w:rsidR="00675FD1" w:rsidRDefault="00675FD1" w:rsidP="00C667E2">
                <w:pPr>
                  <w:keepNext/>
                  <w:ind w:left="274"/>
                  <w:rPr>
                    <w:rFonts w:ascii="Calibri"/>
                    <w:color w:val="000000"/>
                    <w:sz w:val="20"/>
                  </w:rPr>
                </w:pPr>
                <w:r>
                  <w:rPr>
                    <w:rFonts w:ascii="Calibri"/>
                    <w:color w:val="000000"/>
                    <w:sz w:val="20"/>
                  </w:rPr>
                  <w:t>Unearned ESOP shares (496,348 shares)</w:t>
                </w:r>
              </w:p>
            </w:tc>
            <w:tc>
              <w:tcPr>
                <w:tcW w:w="81" w:type="pct"/>
                <w:shd w:val="clear" w:color="auto" w:fill="FFFFFF"/>
                <w:tcMar>
                  <w:top w:w="15" w:type="dxa"/>
                  <w:left w:w="0" w:type="dxa"/>
                  <w:bottom w:w="0" w:type="dxa"/>
                  <w:right w:w="15" w:type="dxa"/>
                </w:tcMar>
                <w:vAlign w:val="bottom"/>
              </w:tcPr>
              <w:p w14:paraId="3B04508D"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2F930572"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3644A02F" w14:textId="77777777" w:rsidR="00675FD1" w:rsidRDefault="00675FD1" w:rsidP="00C667E2">
                <w:pPr>
                  <w:jc w:val="right"/>
                  <w:rPr>
                    <w:rFonts w:ascii="Calibri"/>
                    <w:color w:val="000000"/>
                    <w:sz w:val="20"/>
                  </w:rPr>
                </w:pPr>
                <w:r>
                  <w:rPr>
                    <w:rFonts w:ascii="Calibri"/>
                    <w:color w:val="000000"/>
                    <w:sz w:val="20"/>
                  </w:rPr>
                  <w:t>(5,802,428</w:t>
                </w:r>
              </w:p>
            </w:tc>
            <w:tc>
              <w:tcPr>
                <w:tcW w:w="50" w:type="pct"/>
                <w:shd w:val="clear" w:color="auto" w:fill="FFFFFF"/>
                <w:noWrap/>
                <w:tcMar>
                  <w:top w:w="15" w:type="dxa"/>
                  <w:left w:w="0" w:type="dxa"/>
                  <w:bottom w:w="0" w:type="dxa"/>
                  <w:right w:w="15" w:type="dxa"/>
                </w:tcMar>
                <w:vAlign w:val="bottom"/>
              </w:tcPr>
              <w:p w14:paraId="01C206A4" w14:textId="77777777" w:rsidR="00675FD1" w:rsidRDefault="00675FD1" w:rsidP="00C667E2">
                <w:pPr>
                  <w:rPr>
                    <w:rFonts w:ascii="Calibri"/>
                    <w:color w:val="000000"/>
                    <w:sz w:val="20"/>
                  </w:rPr>
                </w:pPr>
                <w:r>
                  <w:rPr>
                    <w:rFonts w:ascii="Calibri"/>
                    <w:color w:val="000000"/>
                    <w:sz w:val="20"/>
                  </w:rPr>
                  <w:t>)</w:t>
                </w:r>
              </w:p>
            </w:tc>
            <w:tc>
              <w:tcPr>
                <w:tcW w:w="81" w:type="pct"/>
                <w:shd w:val="clear" w:color="auto" w:fill="FFFFFF"/>
                <w:tcMar>
                  <w:top w:w="15" w:type="dxa"/>
                  <w:left w:w="0" w:type="dxa"/>
                  <w:bottom w:w="0" w:type="dxa"/>
                  <w:right w:w="15" w:type="dxa"/>
                </w:tcMar>
                <w:vAlign w:val="bottom"/>
              </w:tcPr>
              <w:p w14:paraId="0B8573B5" w14:textId="77777777" w:rsidR="00675FD1" w:rsidRDefault="00675FD1" w:rsidP="00C667E2">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9B4AE17" w14:textId="77777777" w:rsidR="00675FD1" w:rsidRDefault="00675FD1" w:rsidP="00C667E2">
                <w:pPr>
                  <w:rPr>
                    <w:rFonts w:ascii="Calibri"/>
                    <w:color w:val="000000"/>
                    <w:sz w:val="20"/>
                  </w:rPr>
                </w:pPr>
                <w:r>
                  <w:rPr>
                    <w:rFonts w:ascii="Calibri"/>
                    <w:color w:val="000000"/>
                    <w:sz w:val="20"/>
                  </w:rPr>
                  <w:t xml:space="preserve"> </w:t>
                </w:r>
              </w:p>
            </w:tc>
            <w:tc>
              <w:tcPr>
                <w:tcW w:w="644" w:type="pct"/>
                <w:shd w:val="clear" w:color="auto" w:fill="FFFFFF"/>
                <w:noWrap/>
                <w:tcMar>
                  <w:top w:w="15" w:type="dxa"/>
                  <w:left w:w="0" w:type="dxa"/>
                  <w:bottom w:w="0" w:type="dxa"/>
                  <w:right w:w="15" w:type="dxa"/>
                </w:tcMar>
                <w:vAlign w:val="bottom"/>
              </w:tcPr>
              <w:p w14:paraId="43876FD4" w14:textId="77777777" w:rsidR="00675FD1" w:rsidRDefault="00675FD1" w:rsidP="00C667E2">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3DD9ED8C" w14:textId="77777777" w:rsidR="00675FD1" w:rsidRDefault="00675FD1" w:rsidP="00C667E2">
                <w:pPr>
                  <w:rPr>
                    <w:rFonts w:ascii="Calibri"/>
                    <w:color w:val="000000"/>
                    <w:sz w:val="20"/>
                  </w:rPr>
                </w:pPr>
                <w:r>
                  <w:rPr>
                    <w:rFonts w:ascii="Calibri"/>
                    <w:color w:val="000000"/>
                    <w:sz w:val="20"/>
                  </w:rPr>
                  <w:t xml:space="preserve"> </w:t>
                </w:r>
              </w:p>
            </w:tc>
          </w:tr>
          <w:tr w:rsidR="00675FD1" w14:paraId="53156EB4" w14:textId="77777777">
            <w:trPr>
              <w:cantSplit/>
              <w:jc w:val="center"/>
            </w:trPr>
            <w:tc>
              <w:tcPr>
                <w:tcW w:w="3349" w:type="pct"/>
                <w:shd w:val="clear" w:color="auto" w:fill="CFF0FC"/>
                <w:tcMar>
                  <w:top w:w="15" w:type="dxa"/>
                  <w:left w:w="0" w:type="dxa"/>
                  <w:bottom w:w="0" w:type="dxa"/>
                  <w:right w:w="15" w:type="dxa"/>
                </w:tcMar>
              </w:tcPr>
              <w:p w14:paraId="4214E82D" w14:textId="77777777" w:rsidR="00675FD1" w:rsidRDefault="00675FD1" w:rsidP="00C667E2">
                <w:pPr>
                  <w:keepNext/>
                  <w:ind w:left="274"/>
                  <w:rPr>
                    <w:rFonts w:ascii="Calibri"/>
                    <w:color w:val="000000"/>
                    <w:sz w:val="20"/>
                  </w:rPr>
                </w:pPr>
                <w:r>
                  <w:rPr>
                    <w:rFonts w:ascii="Calibri"/>
                    <w:color w:val="000000"/>
                    <w:sz w:val="20"/>
                  </w:rPr>
                  <w:t>Accumulated other comprehensive loss</w:t>
                </w:r>
              </w:p>
            </w:tc>
            <w:tc>
              <w:tcPr>
                <w:tcW w:w="81" w:type="pct"/>
                <w:shd w:val="clear" w:color="auto" w:fill="CFF0FC"/>
                <w:tcMar>
                  <w:top w:w="15" w:type="dxa"/>
                  <w:left w:w="0" w:type="dxa"/>
                  <w:bottom w:w="0" w:type="dxa"/>
                  <w:right w:w="15" w:type="dxa"/>
                </w:tcMar>
                <w:vAlign w:val="bottom"/>
              </w:tcPr>
              <w:p w14:paraId="371BD459"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1AE378B"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5395A7D6" w14:textId="77777777" w:rsidR="00675FD1" w:rsidRDefault="00675FD1" w:rsidP="00C667E2">
                <w:pPr>
                  <w:jc w:val="right"/>
                  <w:rPr>
                    <w:rFonts w:ascii="Calibri"/>
                    <w:color w:val="000000"/>
                    <w:sz w:val="20"/>
                  </w:rPr>
                </w:pPr>
                <w:r>
                  <w:rPr>
                    <w:rFonts w:ascii="Calibri"/>
                    <w:color w:val="000000"/>
                    <w:sz w:val="20"/>
                  </w:rPr>
                  <w:t>(238,973</w:t>
                </w:r>
              </w:p>
            </w:tc>
            <w:tc>
              <w:tcPr>
                <w:tcW w:w="50" w:type="pct"/>
                <w:shd w:val="clear" w:color="auto" w:fill="CFF0FC"/>
                <w:noWrap/>
                <w:tcMar>
                  <w:top w:w="15" w:type="dxa"/>
                  <w:left w:w="0" w:type="dxa"/>
                  <w:bottom w:w="0" w:type="dxa"/>
                  <w:right w:w="15" w:type="dxa"/>
                </w:tcMar>
                <w:vAlign w:val="bottom"/>
              </w:tcPr>
              <w:p w14:paraId="2F549C80" w14:textId="77777777" w:rsidR="00675FD1" w:rsidRDefault="00675FD1" w:rsidP="00C667E2">
                <w:pPr>
                  <w:rPr>
                    <w:rFonts w:ascii="Calibri"/>
                    <w:color w:val="000000"/>
                    <w:sz w:val="20"/>
                  </w:rPr>
                </w:pPr>
                <w:r>
                  <w:rPr>
                    <w:rFonts w:ascii="Calibri"/>
                    <w:color w:val="000000"/>
                    <w:sz w:val="20"/>
                  </w:rPr>
                  <w:t>)</w:t>
                </w:r>
              </w:p>
            </w:tc>
            <w:tc>
              <w:tcPr>
                <w:tcW w:w="81" w:type="pct"/>
                <w:shd w:val="clear" w:color="auto" w:fill="CFF0FC"/>
                <w:tcMar>
                  <w:top w:w="15" w:type="dxa"/>
                  <w:left w:w="0" w:type="dxa"/>
                  <w:bottom w:w="0" w:type="dxa"/>
                  <w:right w:w="15" w:type="dxa"/>
                </w:tcMar>
                <w:vAlign w:val="bottom"/>
              </w:tcPr>
              <w:p w14:paraId="5C04B995"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C50763A"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75D45487" w14:textId="77777777" w:rsidR="00675FD1" w:rsidRDefault="00675FD1" w:rsidP="00C667E2">
                <w:pPr>
                  <w:jc w:val="right"/>
                  <w:rPr>
                    <w:rFonts w:ascii="Calibri"/>
                    <w:color w:val="000000"/>
                    <w:sz w:val="20"/>
                  </w:rPr>
                </w:pPr>
                <w:r>
                  <w:rPr>
                    <w:rFonts w:ascii="Calibri"/>
                    <w:color w:val="000000"/>
                    <w:sz w:val="20"/>
                  </w:rPr>
                  <w:t>(313,665</w:t>
                </w:r>
              </w:p>
            </w:tc>
            <w:tc>
              <w:tcPr>
                <w:tcW w:w="50" w:type="pct"/>
                <w:shd w:val="clear" w:color="auto" w:fill="CFF0FC"/>
                <w:noWrap/>
                <w:tcMar>
                  <w:top w:w="15" w:type="dxa"/>
                  <w:left w:w="0" w:type="dxa"/>
                  <w:bottom w:w="0" w:type="dxa"/>
                  <w:right w:w="15" w:type="dxa"/>
                </w:tcMar>
                <w:vAlign w:val="bottom"/>
              </w:tcPr>
              <w:p w14:paraId="6DBBA77E" w14:textId="77777777" w:rsidR="00675FD1" w:rsidRDefault="00675FD1" w:rsidP="00C667E2">
                <w:pPr>
                  <w:rPr>
                    <w:rFonts w:ascii="Calibri"/>
                    <w:color w:val="000000"/>
                    <w:sz w:val="20"/>
                  </w:rPr>
                </w:pPr>
                <w:r>
                  <w:rPr>
                    <w:rFonts w:ascii="Calibri"/>
                    <w:color w:val="000000"/>
                    <w:sz w:val="20"/>
                  </w:rPr>
                  <w:t>)</w:t>
                </w:r>
              </w:p>
            </w:tc>
          </w:tr>
          <w:tr w:rsidR="00675FD1" w14:paraId="3D7AA108" w14:textId="77777777">
            <w:trPr>
              <w:cantSplit/>
              <w:jc w:val="center"/>
            </w:trPr>
            <w:tc>
              <w:tcPr>
                <w:tcW w:w="3349" w:type="pct"/>
                <w:shd w:val="clear" w:color="auto" w:fill="FFFFFF"/>
                <w:tcMar>
                  <w:top w:w="15" w:type="dxa"/>
                  <w:left w:w="0" w:type="dxa"/>
                  <w:bottom w:w="0" w:type="dxa"/>
                  <w:right w:w="15" w:type="dxa"/>
                </w:tcMar>
              </w:tcPr>
              <w:p w14:paraId="7844D8D0" w14:textId="77777777" w:rsidR="00675FD1" w:rsidRDefault="00675FD1" w:rsidP="00C667E2">
                <w:pPr>
                  <w:keepNext/>
                  <w:ind w:left="547"/>
                  <w:rPr>
                    <w:rFonts w:ascii="Calibri"/>
                    <w:color w:val="000000"/>
                    <w:sz w:val="20"/>
                  </w:rPr>
                </w:pPr>
                <w:r>
                  <w:rPr>
                    <w:rFonts w:ascii="Calibri"/>
                    <w:color w:val="000000"/>
                    <w:sz w:val="20"/>
                  </w:rPr>
                  <w:t>Total stockholders</w:t>
                </w:r>
                <w:r>
                  <w:rPr>
                    <w:rFonts w:ascii="Calibri"/>
                    <w:color w:val="000000"/>
                    <w:sz w:val="20"/>
                  </w:rPr>
                  <w:t>’</w:t>
                </w:r>
                <w:r>
                  <w:rPr>
                    <w:rFonts w:ascii="Calibri"/>
                    <w:color w:val="000000"/>
                    <w:sz w:val="20"/>
                  </w:rPr>
                  <w:t xml:space="preserve"> equity</w:t>
                </w:r>
              </w:p>
            </w:tc>
            <w:tc>
              <w:tcPr>
                <w:tcW w:w="81" w:type="pct"/>
                <w:shd w:val="clear" w:color="auto" w:fill="FFFFFF"/>
                <w:tcMar>
                  <w:top w:w="15" w:type="dxa"/>
                  <w:left w:w="0" w:type="dxa"/>
                  <w:bottom w:w="0" w:type="dxa"/>
                  <w:right w:w="15" w:type="dxa"/>
                </w:tcMar>
                <w:vAlign w:val="bottom"/>
              </w:tcPr>
              <w:p w14:paraId="043E9336"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FA2249A"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A632BAC" w14:textId="77777777" w:rsidR="00675FD1" w:rsidRDefault="00675FD1" w:rsidP="00C667E2">
                <w:pPr>
                  <w:jc w:val="right"/>
                  <w:rPr>
                    <w:rFonts w:ascii="Calibri"/>
                    <w:color w:val="000000"/>
                    <w:sz w:val="20"/>
                  </w:rPr>
                </w:pPr>
                <w:r>
                  <w:rPr>
                    <w:rFonts w:ascii="Calibri"/>
                    <w:color w:val="000000"/>
                    <w:sz w:val="20"/>
                  </w:rPr>
                  <w:t>127,399,899</w:t>
                </w:r>
              </w:p>
            </w:tc>
            <w:tc>
              <w:tcPr>
                <w:tcW w:w="50" w:type="pct"/>
                <w:shd w:val="clear" w:color="auto" w:fill="FFFFFF"/>
                <w:noWrap/>
                <w:tcMar>
                  <w:top w:w="15" w:type="dxa"/>
                  <w:left w:w="0" w:type="dxa"/>
                  <w:bottom w:w="0" w:type="dxa"/>
                  <w:right w:w="15" w:type="dxa"/>
                </w:tcMar>
                <w:vAlign w:val="bottom"/>
              </w:tcPr>
              <w:p w14:paraId="098F258D"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FFFFFF"/>
                <w:tcMar>
                  <w:top w:w="15" w:type="dxa"/>
                  <w:left w:w="0" w:type="dxa"/>
                  <w:bottom w:w="0" w:type="dxa"/>
                  <w:right w:w="15" w:type="dxa"/>
                </w:tcMar>
                <w:vAlign w:val="bottom"/>
              </w:tcPr>
              <w:p w14:paraId="53A05150"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85C41A7" w14:textId="77777777" w:rsidR="00675FD1" w:rsidRDefault="00675FD1" w:rsidP="00C667E2">
                <w:pPr>
                  <w:rPr>
                    <w:rFonts w:ascii="Calibri"/>
                    <w:color w:val="000000"/>
                    <w:sz w:val="20"/>
                  </w:rPr>
                </w:pPr>
                <w:r>
                  <w:rPr>
                    <w:rFonts w:ascii="Calibri"/>
                    <w:color w:val="000000"/>
                    <w:sz w:val="20"/>
                  </w:rPr>
                  <w:t xml:space="preserve"> </w:t>
                </w:r>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64F8A79" w14:textId="77777777" w:rsidR="00675FD1" w:rsidRDefault="00675FD1" w:rsidP="00C667E2">
                <w:pPr>
                  <w:jc w:val="right"/>
                  <w:rPr>
                    <w:rFonts w:ascii="Calibri"/>
                    <w:color w:val="000000"/>
                    <w:sz w:val="20"/>
                  </w:rPr>
                </w:pPr>
                <w:r>
                  <w:rPr>
                    <w:rFonts w:ascii="Calibri"/>
                    <w:color w:val="000000"/>
                    <w:sz w:val="20"/>
                  </w:rPr>
                  <w:t>74,977,847</w:t>
                </w:r>
              </w:p>
            </w:tc>
            <w:tc>
              <w:tcPr>
                <w:tcW w:w="50" w:type="pct"/>
                <w:shd w:val="clear" w:color="auto" w:fill="FFFFFF"/>
                <w:noWrap/>
                <w:tcMar>
                  <w:top w:w="15" w:type="dxa"/>
                  <w:left w:w="0" w:type="dxa"/>
                  <w:bottom w:w="0" w:type="dxa"/>
                  <w:right w:w="15" w:type="dxa"/>
                </w:tcMar>
                <w:vAlign w:val="bottom"/>
              </w:tcPr>
              <w:p w14:paraId="047FFF87" w14:textId="77777777" w:rsidR="00675FD1" w:rsidRDefault="00675FD1" w:rsidP="00C667E2">
                <w:pPr>
                  <w:rPr>
                    <w:rFonts w:ascii="Calibri"/>
                    <w:color w:val="000000"/>
                    <w:sz w:val="20"/>
                  </w:rPr>
                </w:pPr>
                <w:r>
                  <w:rPr>
                    <w:rFonts w:ascii="Calibri"/>
                    <w:color w:val="000000"/>
                    <w:sz w:val="20"/>
                  </w:rPr>
                  <w:t xml:space="preserve"> </w:t>
                </w:r>
              </w:p>
            </w:tc>
          </w:tr>
          <w:tr w:rsidR="00675FD1" w14:paraId="22083683" w14:textId="77777777">
            <w:trPr>
              <w:cantSplit/>
              <w:jc w:val="center"/>
            </w:trPr>
            <w:tc>
              <w:tcPr>
                <w:tcW w:w="3349" w:type="pct"/>
                <w:shd w:val="clear" w:color="auto" w:fill="CFF0FC"/>
                <w:tcMar>
                  <w:top w:w="15" w:type="dxa"/>
                  <w:left w:w="0" w:type="dxa"/>
                  <w:bottom w:w="0" w:type="dxa"/>
                  <w:right w:w="15" w:type="dxa"/>
                </w:tcMar>
              </w:tcPr>
              <w:p w14:paraId="04D1FF2B" w14:textId="77777777" w:rsidR="00675FD1" w:rsidRDefault="00675FD1" w:rsidP="00C667E2">
                <w:pPr>
                  <w:ind w:left="274"/>
                  <w:rPr>
                    <w:rFonts w:ascii="Calibri"/>
                    <w:color w:val="000000"/>
                    <w:sz w:val="20"/>
                  </w:rPr>
                </w:pPr>
                <w:r>
                  <w:rPr>
                    <w:rFonts w:ascii="Calibri"/>
                    <w:color w:val="000000"/>
                    <w:sz w:val="20"/>
                  </w:rPr>
                  <w:t>Total liabilities and stockholders</w:t>
                </w:r>
                <w:r>
                  <w:rPr>
                    <w:rFonts w:ascii="Calibri"/>
                    <w:color w:val="000000"/>
                    <w:sz w:val="20"/>
                  </w:rPr>
                  <w:t>’</w:t>
                </w:r>
                <w:r>
                  <w:rPr>
                    <w:rFonts w:ascii="Calibri"/>
                    <w:color w:val="000000"/>
                    <w:sz w:val="20"/>
                  </w:rPr>
                  <w:t xml:space="preserve"> equity</w:t>
                </w:r>
              </w:p>
            </w:tc>
            <w:tc>
              <w:tcPr>
                <w:tcW w:w="81" w:type="pct"/>
                <w:shd w:val="clear" w:color="auto" w:fill="CFF0FC"/>
                <w:tcMar>
                  <w:top w:w="15" w:type="dxa"/>
                  <w:left w:w="0" w:type="dxa"/>
                  <w:bottom w:w="0" w:type="dxa"/>
                  <w:right w:w="15" w:type="dxa"/>
                </w:tcMar>
                <w:vAlign w:val="bottom"/>
              </w:tcPr>
              <w:p w14:paraId="0736B4B2"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8BEBA40" w14:textId="77777777" w:rsidR="00675FD1" w:rsidRDefault="00675FD1" w:rsidP="00C667E2">
                <w:pPr>
                  <w:rPr>
                    <w:rFonts w:ascii="Calibri"/>
                    <w:color w:val="000000"/>
                    <w:sz w:val="20"/>
                  </w:rPr>
                </w:pPr>
                <w:r>
                  <w:rPr>
                    <w:rFonts w:ascii="Calibri"/>
                    <w:color w:val="000000"/>
                    <w:sz w:val="20"/>
                  </w:rPr>
                  <w:t>$</w:t>
                </w:r>
              </w:p>
            </w:tc>
            <w:tc>
              <w:tcPr>
                <w:tcW w:w="64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7FBFBD3" w14:textId="77777777" w:rsidR="00675FD1" w:rsidRDefault="00675FD1" w:rsidP="00C667E2">
                <w:pPr>
                  <w:jc w:val="right"/>
                  <w:rPr>
                    <w:rFonts w:ascii="Calibri"/>
                    <w:color w:val="000000"/>
                    <w:sz w:val="20"/>
                  </w:rPr>
                </w:pPr>
                <w:r>
                  <w:rPr>
                    <w:rFonts w:ascii="Calibri"/>
                    <w:color w:val="000000"/>
                    <w:sz w:val="20"/>
                  </w:rPr>
                  <w:t>753,504,037</w:t>
                </w:r>
              </w:p>
            </w:tc>
            <w:tc>
              <w:tcPr>
                <w:tcW w:w="50" w:type="pct"/>
                <w:shd w:val="clear" w:color="auto" w:fill="CFF0FC"/>
                <w:noWrap/>
                <w:tcMar>
                  <w:top w:w="15" w:type="dxa"/>
                  <w:left w:w="0" w:type="dxa"/>
                  <w:bottom w:w="0" w:type="dxa"/>
                  <w:right w:w="15" w:type="dxa"/>
                </w:tcMar>
                <w:vAlign w:val="bottom"/>
              </w:tcPr>
              <w:p w14:paraId="08F88793" w14:textId="77777777" w:rsidR="00675FD1" w:rsidRDefault="00675FD1" w:rsidP="00C667E2">
                <w:pPr>
                  <w:rPr>
                    <w:rFonts w:ascii="Calibri"/>
                    <w:color w:val="000000"/>
                    <w:sz w:val="20"/>
                  </w:rPr>
                </w:pPr>
                <w:r>
                  <w:rPr>
                    <w:rFonts w:ascii="Calibri"/>
                    <w:color w:val="000000"/>
                    <w:sz w:val="20"/>
                  </w:rPr>
                  <w:t xml:space="preserve"> </w:t>
                </w:r>
              </w:p>
            </w:tc>
            <w:tc>
              <w:tcPr>
                <w:tcW w:w="81" w:type="pct"/>
                <w:shd w:val="clear" w:color="auto" w:fill="CFF0FC"/>
                <w:tcMar>
                  <w:top w:w="15" w:type="dxa"/>
                  <w:left w:w="0" w:type="dxa"/>
                  <w:bottom w:w="0" w:type="dxa"/>
                  <w:right w:w="15" w:type="dxa"/>
                </w:tcMar>
                <w:vAlign w:val="bottom"/>
              </w:tcPr>
              <w:p w14:paraId="4175D58A" w14:textId="77777777" w:rsidR="00675FD1" w:rsidRDefault="00675FD1" w:rsidP="00C667E2">
                <w:pPr>
                  <w:rPr>
                    <w:rFonts w:ascii="Calibri"/>
                    <w:color w:val="000000"/>
                    <w:sz w:val="20"/>
                  </w:rPr>
                </w:pPr>
                <w:r>
                  <w:rPr>
                    <w:rFonts w:ascii="Calibri"/>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08DDF61" w14:textId="77777777" w:rsidR="00675FD1" w:rsidRDefault="00675FD1" w:rsidP="00C667E2">
                <w:pPr>
                  <w:rPr>
                    <w:rFonts w:ascii="Calibri"/>
                    <w:color w:val="000000"/>
                    <w:sz w:val="20"/>
                  </w:rPr>
                </w:pPr>
                <w:r>
                  <w:rPr>
                    <w:rFonts w:ascii="Calibri"/>
                    <w:color w:val="000000"/>
                    <w:sz w:val="20"/>
                  </w:rPr>
                  <w:t>$</w:t>
                </w:r>
              </w:p>
            </w:tc>
            <w:tc>
              <w:tcPr>
                <w:tcW w:w="64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DBF7AAF" w14:textId="77777777" w:rsidR="00675FD1" w:rsidRDefault="00675FD1" w:rsidP="00C667E2">
                <w:pPr>
                  <w:jc w:val="right"/>
                  <w:rPr>
                    <w:rFonts w:ascii="Calibri"/>
                    <w:color w:val="000000"/>
                    <w:sz w:val="20"/>
                  </w:rPr>
                </w:pPr>
                <w:r>
                  <w:rPr>
                    <w:rFonts w:ascii="Calibri"/>
                    <w:color w:val="000000"/>
                    <w:sz w:val="20"/>
                  </w:rPr>
                  <w:t>766,612,254</w:t>
                </w:r>
              </w:p>
            </w:tc>
            <w:tc>
              <w:tcPr>
                <w:tcW w:w="50" w:type="pct"/>
                <w:shd w:val="clear" w:color="auto" w:fill="CFF0FC"/>
                <w:noWrap/>
                <w:tcMar>
                  <w:top w:w="15" w:type="dxa"/>
                  <w:left w:w="0" w:type="dxa"/>
                  <w:bottom w:w="0" w:type="dxa"/>
                  <w:right w:w="15" w:type="dxa"/>
                </w:tcMar>
                <w:vAlign w:val="bottom"/>
              </w:tcPr>
              <w:p w14:paraId="75D25B5F" w14:textId="51F604CA" w:rsidR="00675FD1" w:rsidRDefault="00675FD1" w:rsidP="00C667E2">
                <w:pPr>
                  <w:rPr>
                    <w:rFonts w:ascii="Calibri"/>
                    <w:color w:val="000000"/>
                    <w:sz w:val="20"/>
                  </w:rPr>
                </w:pPr>
                <w:r>
                  <w:rPr>
                    <w:rFonts w:ascii="Calibri"/>
                    <w:color w:val="000000"/>
                    <w:sz w:val="2"/>
                  </w:rPr>
                  <w:t xml:space="preserve"> </w:t>
                </w:r>
              </w:p>
            </w:tc>
          </w:tr>
        </w:tbl>
      </w:sdtContent>
    </w:sdt>
    <w:p w14:paraId="5A1870BB" w14:textId="77777777" w:rsidR="00E57EC0" w:rsidRPr="00F76E29" w:rsidRDefault="00E57EC0" w:rsidP="00E57EC0">
      <w:pPr>
        <w:pStyle w:val="NormalWeb"/>
        <w:keepNext/>
        <w:pageBreakBefore/>
        <w:spacing w:before="0" w:beforeAutospacing="0" w:after="0" w:afterAutospacing="0"/>
        <w:jc w:val="center"/>
        <w:rPr>
          <w:rFonts w:asciiTheme="minorHAnsi" w:hAnsiTheme="minorHAnsi"/>
          <w:sz w:val="20"/>
        </w:rPr>
      </w:pPr>
      <w:r w:rsidRPr="00F76E29">
        <w:rPr>
          <w:rFonts w:asciiTheme="minorHAnsi" w:hAnsiTheme="minorHAnsi"/>
          <w:b/>
          <w:caps/>
          <w:sz w:val="20"/>
        </w:rPr>
        <w:lastRenderedPageBreak/>
        <w:t>BOGOTA FINANCIAL cORP</w:t>
      </w:r>
      <w:r w:rsidRPr="00F76E29">
        <w:rPr>
          <w:rFonts w:asciiTheme="minorHAnsi" w:hAnsiTheme="minorHAnsi"/>
          <w:b/>
          <w:bCs/>
          <w:caps/>
          <w:sz w:val="20"/>
          <w:szCs w:val="20"/>
        </w:rPr>
        <w:t>.</w:t>
      </w:r>
    </w:p>
    <w:p w14:paraId="76A99371" w14:textId="77777777" w:rsidR="00E57EC0" w:rsidRPr="00F76E29" w:rsidRDefault="00E57EC0" w:rsidP="00E57EC0">
      <w:pPr>
        <w:pStyle w:val="NormalWeb"/>
        <w:keepNext/>
        <w:spacing w:before="0" w:beforeAutospacing="0" w:after="0" w:afterAutospacing="0"/>
        <w:jc w:val="center"/>
        <w:rPr>
          <w:rFonts w:asciiTheme="minorHAnsi" w:hAnsiTheme="minorHAnsi"/>
          <w:b/>
          <w:sz w:val="20"/>
        </w:rPr>
      </w:pPr>
      <w:r w:rsidRPr="00F76E29">
        <w:rPr>
          <w:rFonts w:asciiTheme="minorHAnsi" w:hAnsiTheme="minorHAnsi"/>
          <w:b/>
          <w:sz w:val="20"/>
        </w:rPr>
        <w:t>CONSOLIDATED STATEMENTS OF INCOME</w:t>
      </w:r>
    </w:p>
    <w:p w14:paraId="628A4A43" w14:textId="77777777" w:rsidR="00F76E29" w:rsidRDefault="00F76E29" w:rsidP="002E3B34">
      <w:pPr>
        <w:keepNext/>
        <w:spacing w:line="259" w:lineRule="auto"/>
        <w:rPr>
          <w:rFonts w:asciiTheme="minorHAnsi" w:hAnsiTheme="minorHAnsi"/>
        </w:rPr>
      </w:pPr>
    </w:p>
    <w:sdt>
      <w:sdtPr>
        <w:alias w:val="AL-FS_Stmt_Income - BSBK_Workbook"/>
        <w:tag w:val="a9f197cf-1fb2-4666-876d-562266d73e8f"/>
        <w:id w:val="-1296134661"/>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436"/>
            <w:gridCol w:w="129"/>
            <w:gridCol w:w="117"/>
            <w:gridCol w:w="988"/>
            <w:gridCol w:w="105"/>
            <w:gridCol w:w="129"/>
            <w:gridCol w:w="117"/>
            <w:gridCol w:w="991"/>
            <w:gridCol w:w="105"/>
            <w:gridCol w:w="129"/>
            <w:gridCol w:w="117"/>
            <w:gridCol w:w="988"/>
            <w:gridCol w:w="105"/>
            <w:gridCol w:w="129"/>
            <w:gridCol w:w="117"/>
            <w:gridCol w:w="992"/>
            <w:gridCol w:w="106"/>
          </w:tblGrid>
          <w:tr w:rsidR="002606E8" w14:paraId="19F21FDE" w14:textId="77777777">
            <w:trPr>
              <w:cantSplit/>
              <w:jc w:val="center"/>
            </w:trPr>
            <w:tc>
              <w:tcPr>
                <w:tcW w:w="2517" w:type="pct"/>
                <w:shd w:val="clear" w:color="auto" w:fill="FFFFFF"/>
                <w:tcMar>
                  <w:top w:w="15" w:type="dxa"/>
                  <w:left w:w="0" w:type="dxa"/>
                  <w:bottom w:w="0" w:type="dxa"/>
                  <w:right w:w="15" w:type="dxa"/>
                </w:tcMar>
                <w:vAlign w:val="bottom"/>
              </w:tcPr>
              <w:p w14:paraId="3300954D" w14:textId="0824A977" w:rsidR="002606E8" w:rsidRDefault="002606E8" w:rsidP="002606E8">
                <w:pPr>
                  <w:keepNext/>
                  <w:jc w:val="center"/>
                  <w:rPr>
                    <w:rFonts w:ascii="Calibri"/>
                    <w:b/>
                    <w:color w:val="000000"/>
                    <w:sz w:val="16"/>
                  </w:rPr>
                </w:pPr>
                <w:r>
                  <w:t xml:space="preserve"> </w:t>
                </w:r>
                <w:r>
                  <w:rPr>
                    <w:rFonts w:ascii="Calibri"/>
                    <w:b/>
                    <w:color w:val="000000"/>
                    <w:sz w:val="16"/>
                  </w:rPr>
                  <w:t xml:space="preserve"> </w:t>
                </w:r>
              </w:p>
            </w:tc>
            <w:tc>
              <w:tcPr>
                <w:tcW w:w="61" w:type="pct"/>
                <w:shd w:val="clear" w:color="auto" w:fill="FFFFFF"/>
                <w:tcMar>
                  <w:top w:w="15" w:type="dxa"/>
                  <w:left w:w="0" w:type="dxa"/>
                  <w:bottom w:w="0" w:type="dxa"/>
                  <w:right w:w="15" w:type="dxa"/>
                </w:tcMar>
                <w:vAlign w:val="bottom"/>
              </w:tcPr>
              <w:p w14:paraId="386C83D7" w14:textId="77777777" w:rsidR="002606E8" w:rsidRDefault="002606E8" w:rsidP="002606E8">
                <w:pPr>
                  <w:rPr>
                    <w:rFonts w:ascii="Calibri"/>
                    <w:b/>
                    <w:color w:val="000000"/>
                    <w:sz w:val="16"/>
                  </w:rPr>
                </w:pPr>
                <w:r>
                  <w:rPr>
                    <w:rFonts w:ascii="Calibri"/>
                    <w:b/>
                    <w:color w:val="000000"/>
                    <w:sz w:val="16"/>
                  </w:rPr>
                  <w:t xml:space="preserve"> </w:t>
                </w:r>
              </w:p>
            </w:tc>
            <w:tc>
              <w:tcPr>
                <w:tcW w:w="1130" w:type="pct"/>
                <w:gridSpan w:val="6"/>
                <w:tcBorders>
                  <w:bottom w:val="single" w:sz="2" w:space="0" w:color="000000"/>
                </w:tcBorders>
                <w:shd w:val="clear" w:color="auto" w:fill="FFFFFF"/>
                <w:tcMar>
                  <w:top w:w="15" w:type="dxa"/>
                  <w:left w:w="0" w:type="dxa"/>
                  <w:bottom w:w="0" w:type="dxa"/>
                  <w:right w:w="15" w:type="dxa"/>
                </w:tcMar>
                <w:vAlign w:val="bottom"/>
              </w:tcPr>
              <w:p w14:paraId="360A92EB" w14:textId="77777777" w:rsidR="002606E8" w:rsidRDefault="002606E8">
                <w:pPr>
                  <w:jc w:val="center"/>
                  <w:rPr>
                    <w:rFonts w:ascii="Calibri"/>
                    <w:b/>
                    <w:color w:val="000000"/>
                    <w:sz w:val="16"/>
                  </w:rPr>
                </w:pPr>
                <w:r>
                  <w:rPr>
                    <w:rFonts w:ascii="Calibri"/>
                    <w:b/>
                    <w:color w:val="000000"/>
                    <w:sz w:val="16"/>
                  </w:rPr>
                  <w:t>Three months ended</w:t>
                </w:r>
              </w:p>
              <w:p w14:paraId="4EB3039B" w14:textId="77777777" w:rsidR="002606E8" w:rsidRDefault="002606E8">
                <w:pPr>
                  <w:jc w:val="center"/>
                </w:pPr>
                <w:r>
                  <w:rPr>
                    <w:rFonts w:ascii="Calibri"/>
                    <w:b/>
                    <w:color w:val="000000"/>
                    <w:sz w:val="16"/>
                  </w:rPr>
                  <w:t>September</w:t>
                </w:r>
                <w:r>
                  <w:rPr>
                    <w:rFonts w:ascii="Calibri"/>
                    <w:b/>
                    <w:color w:val="000000"/>
                    <w:sz w:val="16"/>
                  </w:rPr>
                  <w:t> </w:t>
                </w:r>
                <w:r>
                  <w:rPr>
                    <w:rFonts w:ascii="Calibri"/>
                    <w:b/>
                    <w:color w:val="000000"/>
                    <w:sz w:val="16"/>
                  </w:rPr>
                  <w:t>30,</w:t>
                </w:r>
              </w:p>
            </w:tc>
            <w:tc>
              <w:tcPr>
                <w:tcW w:w="50" w:type="pct"/>
                <w:shd w:val="clear" w:color="auto" w:fill="FFFFFF"/>
                <w:noWrap/>
                <w:tcMar>
                  <w:top w:w="15" w:type="dxa"/>
                  <w:left w:w="0" w:type="dxa"/>
                  <w:bottom w:w="0" w:type="dxa"/>
                  <w:right w:w="15" w:type="dxa"/>
                </w:tcMar>
                <w:vAlign w:val="bottom"/>
              </w:tcPr>
              <w:p w14:paraId="449E4107" w14:textId="77777777" w:rsidR="002606E8" w:rsidRDefault="002606E8">
                <w:pPr>
                  <w:rPr>
                    <w:rFonts w:ascii="Calibri"/>
                    <w:b/>
                    <w:color w:val="000000"/>
                    <w:sz w:val="16"/>
                  </w:rPr>
                </w:pPr>
                <w:r>
                  <w:rPr>
                    <w:rFonts w:ascii="Calibri"/>
                    <w:b/>
                    <w:color w:val="000000"/>
                    <w:sz w:val="16"/>
                  </w:rPr>
                  <w:t xml:space="preserve"> </w:t>
                </w:r>
              </w:p>
            </w:tc>
            <w:tc>
              <w:tcPr>
                <w:tcW w:w="61" w:type="pct"/>
                <w:shd w:val="clear" w:color="auto" w:fill="FFFFFF"/>
                <w:tcMar>
                  <w:top w:w="15" w:type="dxa"/>
                  <w:left w:w="0" w:type="dxa"/>
                  <w:bottom w:w="0" w:type="dxa"/>
                  <w:right w:w="15" w:type="dxa"/>
                </w:tcMar>
                <w:vAlign w:val="bottom"/>
              </w:tcPr>
              <w:p w14:paraId="06317CB8" w14:textId="77777777" w:rsidR="002606E8" w:rsidRDefault="002606E8" w:rsidP="002606E8">
                <w:pPr>
                  <w:rPr>
                    <w:rFonts w:ascii="Calibri"/>
                    <w:b/>
                    <w:color w:val="000000"/>
                    <w:sz w:val="16"/>
                  </w:rPr>
                </w:pPr>
                <w:r>
                  <w:rPr>
                    <w:rFonts w:ascii="Calibri"/>
                    <w:b/>
                    <w:color w:val="000000"/>
                    <w:sz w:val="16"/>
                  </w:rPr>
                  <w:t xml:space="preserve"> </w:t>
                </w:r>
              </w:p>
            </w:tc>
            <w:tc>
              <w:tcPr>
                <w:tcW w:w="1130" w:type="pct"/>
                <w:gridSpan w:val="6"/>
                <w:tcBorders>
                  <w:bottom w:val="single" w:sz="2" w:space="0" w:color="000000"/>
                </w:tcBorders>
                <w:shd w:val="clear" w:color="auto" w:fill="FFFFFF"/>
                <w:tcMar>
                  <w:top w:w="15" w:type="dxa"/>
                  <w:left w:w="0" w:type="dxa"/>
                  <w:bottom w:w="0" w:type="dxa"/>
                  <w:right w:w="15" w:type="dxa"/>
                </w:tcMar>
                <w:vAlign w:val="bottom"/>
              </w:tcPr>
              <w:p w14:paraId="338A43C9" w14:textId="77777777" w:rsidR="002606E8" w:rsidRDefault="002606E8">
                <w:pPr>
                  <w:jc w:val="center"/>
                  <w:rPr>
                    <w:rFonts w:ascii="Calibri"/>
                    <w:b/>
                    <w:color w:val="000000"/>
                    <w:sz w:val="16"/>
                  </w:rPr>
                </w:pPr>
                <w:r>
                  <w:rPr>
                    <w:rFonts w:ascii="Calibri"/>
                    <w:b/>
                    <w:color w:val="000000"/>
                    <w:sz w:val="16"/>
                  </w:rPr>
                  <w:t>Nine months ended</w:t>
                </w:r>
              </w:p>
              <w:p w14:paraId="5A573E8D" w14:textId="77777777" w:rsidR="002606E8" w:rsidRDefault="002606E8">
                <w:pPr>
                  <w:jc w:val="center"/>
                </w:pPr>
                <w:r>
                  <w:rPr>
                    <w:rFonts w:ascii="Calibri"/>
                    <w:b/>
                    <w:color w:val="000000"/>
                    <w:sz w:val="16"/>
                  </w:rPr>
                  <w:t>September</w:t>
                </w:r>
                <w:r>
                  <w:rPr>
                    <w:rFonts w:ascii="Calibri"/>
                    <w:b/>
                    <w:color w:val="000000"/>
                    <w:sz w:val="16"/>
                  </w:rPr>
                  <w:t> </w:t>
                </w:r>
                <w:r>
                  <w:rPr>
                    <w:rFonts w:ascii="Calibri"/>
                    <w:b/>
                    <w:color w:val="000000"/>
                    <w:sz w:val="16"/>
                  </w:rPr>
                  <w:t>30,</w:t>
                </w:r>
              </w:p>
            </w:tc>
            <w:tc>
              <w:tcPr>
                <w:tcW w:w="50" w:type="pct"/>
                <w:shd w:val="clear" w:color="auto" w:fill="FFFFFF"/>
                <w:noWrap/>
                <w:tcMar>
                  <w:top w:w="15" w:type="dxa"/>
                  <w:left w:w="0" w:type="dxa"/>
                  <w:bottom w:w="0" w:type="dxa"/>
                  <w:right w:w="15" w:type="dxa"/>
                </w:tcMar>
                <w:vAlign w:val="bottom"/>
              </w:tcPr>
              <w:p w14:paraId="60077A77" w14:textId="77777777" w:rsidR="002606E8" w:rsidRDefault="002606E8">
                <w:pPr>
                  <w:rPr>
                    <w:rFonts w:ascii="Calibri"/>
                    <w:b/>
                    <w:color w:val="000000"/>
                    <w:sz w:val="16"/>
                  </w:rPr>
                </w:pPr>
                <w:r>
                  <w:rPr>
                    <w:rFonts w:ascii="Calibri"/>
                    <w:b/>
                    <w:color w:val="000000"/>
                    <w:sz w:val="16"/>
                  </w:rPr>
                  <w:t xml:space="preserve"> </w:t>
                </w:r>
              </w:p>
            </w:tc>
          </w:tr>
          <w:tr w:rsidR="002606E8" w14:paraId="1EAE75F9" w14:textId="77777777">
            <w:trPr>
              <w:cantSplit/>
              <w:jc w:val="center"/>
            </w:trPr>
            <w:tc>
              <w:tcPr>
                <w:tcW w:w="2517" w:type="pct"/>
                <w:shd w:val="clear" w:color="auto" w:fill="FFFFFF"/>
                <w:tcMar>
                  <w:top w:w="15" w:type="dxa"/>
                  <w:left w:w="0" w:type="dxa"/>
                  <w:bottom w:w="0" w:type="dxa"/>
                  <w:right w:w="15" w:type="dxa"/>
                </w:tcMar>
                <w:vAlign w:val="bottom"/>
              </w:tcPr>
              <w:p w14:paraId="383AFD57" w14:textId="77777777" w:rsidR="002606E8" w:rsidRDefault="002606E8" w:rsidP="002606E8">
                <w:pPr>
                  <w:keepNext/>
                  <w:jc w:val="center"/>
                  <w:rPr>
                    <w:rFonts w:ascii="Calibri"/>
                    <w:b/>
                    <w:color w:val="000000"/>
                    <w:sz w:val="16"/>
                  </w:rPr>
                </w:pPr>
                <w:r>
                  <w:rPr>
                    <w:rFonts w:ascii="Calibri"/>
                    <w:b/>
                    <w:color w:val="000000"/>
                    <w:sz w:val="16"/>
                  </w:rPr>
                  <w:t xml:space="preserve"> </w:t>
                </w:r>
              </w:p>
            </w:tc>
            <w:tc>
              <w:tcPr>
                <w:tcW w:w="61" w:type="pct"/>
                <w:shd w:val="clear" w:color="auto" w:fill="FFFFFF"/>
                <w:tcMar>
                  <w:top w:w="15" w:type="dxa"/>
                  <w:left w:w="0" w:type="dxa"/>
                  <w:bottom w:w="0" w:type="dxa"/>
                  <w:right w:w="15" w:type="dxa"/>
                </w:tcMar>
                <w:vAlign w:val="bottom"/>
              </w:tcPr>
              <w:p w14:paraId="4A15B4D7" w14:textId="77777777" w:rsidR="002606E8" w:rsidRDefault="002606E8" w:rsidP="002606E8">
                <w:pPr>
                  <w:rPr>
                    <w:rFonts w:ascii="Calibri"/>
                    <w:b/>
                    <w:color w:val="000000"/>
                    <w:sz w:val="16"/>
                  </w:rPr>
                </w:pPr>
                <w:r>
                  <w:rPr>
                    <w:rFonts w:ascii="Calibri"/>
                    <w:b/>
                    <w:color w:val="000000"/>
                    <w:sz w:val="16"/>
                  </w:rPr>
                  <w:t xml:space="preserve"> </w:t>
                </w:r>
              </w:p>
            </w:tc>
            <w:tc>
              <w:tcPr>
                <w:tcW w:w="50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DC78BD3" w14:textId="77777777" w:rsidR="002606E8" w:rsidRDefault="002606E8" w:rsidP="002606E8">
                <w:pPr>
                  <w:jc w:val="center"/>
                  <w:rPr>
                    <w:rFonts w:ascii="Calibri"/>
                    <w:b/>
                    <w:color w:val="000000"/>
                    <w:sz w:val="16"/>
                  </w:rPr>
                </w:pPr>
                <w:r>
                  <w:rPr>
                    <w:rFonts w:ascii="Calibri"/>
                    <w:b/>
                    <w:color w:val="000000"/>
                    <w:sz w:val="16"/>
                  </w:rPr>
                  <w:t>2020</w:t>
                </w:r>
              </w:p>
            </w:tc>
            <w:tc>
              <w:tcPr>
                <w:tcW w:w="50" w:type="pct"/>
                <w:shd w:val="clear" w:color="auto" w:fill="FFFFFF"/>
                <w:noWrap/>
                <w:tcMar>
                  <w:top w:w="15" w:type="dxa"/>
                  <w:left w:w="0" w:type="dxa"/>
                  <w:bottom w:w="0" w:type="dxa"/>
                  <w:right w:w="15" w:type="dxa"/>
                </w:tcMar>
                <w:vAlign w:val="bottom"/>
              </w:tcPr>
              <w:p w14:paraId="2B4BF0D3" w14:textId="77777777" w:rsidR="002606E8" w:rsidRDefault="002606E8" w:rsidP="002606E8">
                <w:pPr>
                  <w:rPr>
                    <w:rFonts w:ascii="Calibri"/>
                    <w:b/>
                    <w:color w:val="000000"/>
                    <w:sz w:val="16"/>
                  </w:rPr>
                </w:pPr>
                <w:r>
                  <w:rPr>
                    <w:rFonts w:ascii="Calibri"/>
                    <w:b/>
                    <w:color w:val="000000"/>
                    <w:sz w:val="16"/>
                  </w:rPr>
                  <w:t xml:space="preserve"> </w:t>
                </w:r>
              </w:p>
            </w:tc>
            <w:tc>
              <w:tcPr>
                <w:tcW w:w="61" w:type="pct"/>
                <w:tcBorders>
                  <w:top w:val="single" w:sz="2" w:space="0" w:color="000000"/>
                </w:tcBorders>
                <w:shd w:val="clear" w:color="auto" w:fill="FFFFFF"/>
                <w:tcMar>
                  <w:top w:w="15" w:type="dxa"/>
                  <w:left w:w="0" w:type="dxa"/>
                  <w:bottom w:w="0" w:type="dxa"/>
                  <w:right w:w="15" w:type="dxa"/>
                </w:tcMar>
                <w:vAlign w:val="bottom"/>
              </w:tcPr>
              <w:p w14:paraId="1B6299F5" w14:textId="77777777" w:rsidR="002606E8" w:rsidRDefault="002606E8" w:rsidP="002606E8">
                <w:pPr>
                  <w:rPr>
                    <w:rFonts w:ascii="Calibri"/>
                    <w:b/>
                    <w:color w:val="000000"/>
                    <w:sz w:val="16"/>
                  </w:rPr>
                </w:pPr>
                <w:r>
                  <w:rPr>
                    <w:rFonts w:ascii="Calibri"/>
                    <w:b/>
                    <w:color w:val="000000"/>
                    <w:sz w:val="16"/>
                  </w:rPr>
                  <w:t xml:space="preserve"> </w:t>
                </w:r>
              </w:p>
            </w:tc>
            <w:tc>
              <w:tcPr>
                <w:tcW w:w="50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0B91489" w14:textId="77777777" w:rsidR="002606E8" w:rsidRDefault="002606E8" w:rsidP="002606E8">
                <w:pPr>
                  <w:jc w:val="center"/>
                  <w:rPr>
                    <w:rFonts w:ascii="Calibri"/>
                    <w:b/>
                    <w:color w:val="000000"/>
                    <w:sz w:val="16"/>
                  </w:rPr>
                </w:pPr>
                <w:r>
                  <w:rPr>
                    <w:rFonts w:ascii="Calibri"/>
                    <w:b/>
                    <w:color w:val="000000"/>
                    <w:sz w:val="16"/>
                  </w:rPr>
                  <w:t>2019</w:t>
                </w:r>
              </w:p>
            </w:tc>
            <w:tc>
              <w:tcPr>
                <w:tcW w:w="50" w:type="pct"/>
                <w:shd w:val="clear" w:color="auto" w:fill="FFFFFF"/>
                <w:noWrap/>
                <w:tcMar>
                  <w:top w:w="15" w:type="dxa"/>
                  <w:left w:w="0" w:type="dxa"/>
                  <w:bottom w:w="0" w:type="dxa"/>
                  <w:right w:w="15" w:type="dxa"/>
                </w:tcMar>
                <w:vAlign w:val="bottom"/>
              </w:tcPr>
              <w:p w14:paraId="47559F04" w14:textId="77777777" w:rsidR="002606E8" w:rsidRDefault="002606E8" w:rsidP="002606E8">
                <w:pPr>
                  <w:rPr>
                    <w:rFonts w:ascii="Calibri"/>
                    <w:b/>
                    <w:color w:val="000000"/>
                    <w:sz w:val="16"/>
                  </w:rPr>
                </w:pPr>
                <w:r>
                  <w:rPr>
                    <w:rFonts w:ascii="Calibri"/>
                    <w:b/>
                    <w:color w:val="000000"/>
                    <w:sz w:val="16"/>
                  </w:rPr>
                  <w:t xml:space="preserve"> </w:t>
                </w:r>
              </w:p>
            </w:tc>
            <w:tc>
              <w:tcPr>
                <w:tcW w:w="61" w:type="pct"/>
                <w:shd w:val="clear" w:color="auto" w:fill="FFFFFF"/>
                <w:tcMar>
                  <w:top w:w="15" w:type="dxa"/>
                  <w:left w:w="0" w:type="dxa"/>
                  <w:bottom w:w="0" w:type="dxa"/>
                  <w:right w:w="15" w:type="dxa"/>
                </w:tcMar>
                <w:vAlign w:val="bottom"/>
              </w:tcPr>
              <w:p w14:paraId="3AC22EBA" w14:textId="77777777" w:rsidR="002606E8" w:rsidRDefault="002606E8" w:rsidP="002606E8">
                <w:pPr>
                  <w:rPr>
                    <w:rFonts w:ascii="Calibri"/>
                    <w:b/>
                    <w:color w:val="000000"/>
                    <w:sz w:val="16"/>
                  </w:rPr>
                </w:pPr>
                <w:r>
                  <w:rPr>
                    <w:rFonts w:ascii="Calibri"/>
                    <w:b/>
                    <w:color w:val="000000"/>
                    <w:sz w:val="16"/>
                  </w:rPr>
                  <w:t xml:space="preserve"> </w:t>
                </w:r>
              </w:p>
            </w:tc>
            <w:tc>
              <w:tcPr>
                <w:tcW w:w="50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68759FB" w14:textId="77777777" w:rsidR="002606E8" w:rsidRDefault="002606E8" w:rsidP="002606E8">
                <w:pPr>
                  <w:jc w:val="center"/>
                  <w:rPr>
                    <w:rFonts w:ascii="Calibri"/>
                    <w:b/>
                    <w:color w:val="000000"/>
                    <w:sz w:val="16"/>
                  </w:rPr>
                </w:pPr>
                <w:r>
                  <w:rPr>
                    <w:rFonts w:ascii="Calibri"/>
                    <w:b/>
                    <w:color w:val="000000"/>
                    <w:sz w:val="16"/>
                  </w:rPr>
                  <w:t>2020</w:t>
                </w:r>
              </w:p>
            </w:tc>
            <w:tc>
              <w:tcPr>
                <w:tcW w:w="50" w:type="pct"/>
                <w:shd w:val="clear" w:color="auto" w:fill="FFFFFF"/>
                <w:noWrap/>
                <w:tcMar>
                  <w:top w:w="15" w:type="dxa"/>
                  <w:left w:w="0" w:type="dxa"/>
                  <w:bottom w:w="0" w:type="dxa"/>
                  <w:right w:w="15" w:type="dxa"/>
                </w:tcMar>
                <w:vAlign w:val="bottom"/>
              </w:tcPr>
              <w:p w14:paraId="5193C5CE" w14:textId="77777777" w:rsidR="002606E8" w:rsidRDefault="002606E8" w:rsidP="002606E8">
                <w:pPr>
                  <w:rPr>
                    <w:rFonts w:ascii="Calibri"/>
                    <w:b/>
                    <w:color w:val="000000"/>
                    <w:sz w:val="16"/>
                  </w:rPr>
                </w:pPr>
                <w:r>
                  <w:rPr>
                    <w:rFonts w:ascii="Calibri"/>
                    <w:b/>
                    <w:color w:val="000000"/>
                    <w:sz w:val="16"/>
                  </w:rPr>
                  <w:t xml:space="preserve"> </w:t>
                </w:r>
              </w:p>
            </w:tc>
            <w:tc>
              <w:tcPr>
                <w:tcW w:w="61" w:type="pct"/>
                <w:tcBorders>
                  <w:top w:val="single" w:sz="2" w:space="0" w:color="000000"/>
                </w:tcBorders>
                <w:shd w:val="clear" w:color="auto" w:fill="FFFFFF"/>
                <w:tcMar>
                  <w:top w:w="15" w:type="dxa"/>
                  <w:left w:w="0" w:type="dxa"/>
                  <w:bottom w:w="0" w:type="dxa"/>
                  <w:right w:w="15" w:type="dxa"/>
                </w:tcMar>
                <w:vAlign w:val="bottom"/>
              </w:tcPr>
              <w:p w14:paraId="2D183E96" w14:textId="77777777" w:rsidR="002606E8" w:rsidRDefault="002606E8" w:rsidP="002606E8">
                <w:pPr>
                  <w:rPr>
                    <w:rFonts w:ascii="Calibri"/>
                    <w:b/>
                    <w:color w:val="000000"/>
                    <w:sz w:val="16"/>
                  </w:rPr>
                </w:pPr>
                <w:r>
                  <w:rPr>
                    <w:rFonts w:ascii="Calibri"/>
                    <w:b/>
                    <w:color w:val="000000"/>
                    <w:sz w:val="16"/>
                  </w:rPr>
                  <w:t xml:space="preserve"> </w:t>
                </w:r>
              </w:p>
            </w:tc>
            <w:tc>
              <w:tcPr>
                <w:tcW w:w="50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625D6AA" w14:textId="77777777" w:rsidR="002606E8" w:rsidRDefault="002606E8" w:rsidP="002606E8">
                <w:pPr>
                  <w:jc w:val="center"/>
                  <w:rPr>
                    <w:rFonts w:ascii="Calibri"/>
                    <w:b/>
                    <w:color w:val="000000"/>
                    <w:sz w:val="16"/>
                  </w:rPr>
                </w:pPr>
                <w:r>
                  <w:rPr>
                    <w:rFonts w:ascii="Calibri"/>
                    <w:b/>
                    <w:color w:val="000000"/>
                    <w:sz w:val="16"/>
                  </w:rPr>
                  <w:t>2019</w:t>
                </w:r>
              </w:p>
            </w:tc>
            <w:tc>
              <w:tcPr>
                <w:tcW w:w="50" w:type="pct"/>
                <w:shd w:val="clear" w:color="auto" w:fill="FFFFFF"/>
                <w:noWrap/>
                <w:tcMar>
                  <w:top w:w="15" w:type="dxa"/>
                  <w:left w:w="0" w:type="dxa"/>
                  <w:bottom w:w="0" w:type="dxa"/>
                  <w:right w:w="15" w:type="dxa"/>
                </w:tcMar>
                <w:vAlign w:val="bottom"/>
              </w:tcPr>
              <w:p w14:paraId="44A8E6E3" w14:textId="77777777" w:rsidR="002606E8" w:rsidRDefault="002606E8" w:rsidP="002606E8">
                <w:pPr>
                  <w:rPr>
                    <w:rFonts w:ascii="Calibri"/>
                    <w:b/>
                    <w:color w:val="000000"/>
                    <w:sz w:val="16"/>
                  </w:rPr>
                </w:pPr>
                <w:r>
                  <w:rPr>
                    <w:rFonts w:ascii="Calibri"/>
                    <w:b/>
                    <w:color w:val="000000"/>
                    <w:sz w:val="16"/>
                  </w:rPr>
                  <w:t xml:space="preserve"> </w:t>
                </w:r>
              </w:p>
            </w:tc>
          </w:tr>
          <w:tr w:rsidR="002606E8" w14:paraId="42EB3826" w14:textId="77777777">
            <w:trPr>
              <w:cantSplit/>
              <w:jc w:val="center"/>
            </w:trPr>
            <w:tc>
              <w:tcPr>
                <w:tcW w:w="2517" w:type="pct"/>
                <w:shd w:val="clear" w:color="auto" w:fill="FFFFFF"/>
                <w:tcMar>
                  <w:top w:w="15" w:type="dxa"/>
                  <w:left w:w="0" w:type="dxa"/>
                  <w:bottom w:w="0" w:type="dxa"/>
                  <w:right w:w="15" w:type="dxa"/>
                </w:tcMar>
                <w:vAlign w:val="bottom"/>
              </w:tcPr>
              <w:p w14:paraId="25F08D54" w14:textId="77777777" w:rsidR="002606E8" w:rsidRDefault="002606E8" w:rsidP="002606E8">
                <w:pPr>
                  <w:keepNext/>
                  <w:jc w:val="center"/>
                  <w:rPr>
                    <w:rFonts w:ascii="Calibri"/>
                    <w:b/>
                    <w:color w:val="000000"/>
                    <w:sz w:val="16"/>
                  </w:rPr>
                </w:pPr>
                <w:r>
                  <w:rPr>
                    <w:rFonts w:ascii="Calibri"/>
                    <w:b/>
                    <w:color w:val="000000"/>
                    <w:sz w:val="16"/>
                  </w:rPr>
                  <w:t xml:space="preserve"> </w:t>
                </w:r>
              </w:p>
            </w:tc>
            <w:tc>
              <w:tcPr>
                <w:tcW w:w="61" w:type="pct"/>
                <w:shd w:val="clear" w:color="auto" w:fill="FFFFFF"/>
                <w:tcMar>
                  <w:top w:w="15" w:type="dxa"/>
                  <w:left w:w="0" w:type="dxa"/>
                  <w:bottom w:w="0" w:type="dxa"/>
                  <w:right w:w="15" w:type="dxa"/>
                </w:tcMar>
                <w:vAlign w:val="bottom"/>
              </w:tcPr>
              <w:p w14:paraId="186A8804" w14:textId="77777777" w:rsidR="002606E8" w:rsidRDefault="002606E8" w:rsidP="002606E8">
                <w:pPr>
                  <w:rPr>
                    <w:rFonts w:ascii="Calibri"/>
                    <w:b/>
                    <w:color w:val="000000"/>
                    <w:sz w:val="16"/>
                  </w:rPr>
                </w:pPr>
                <w:r>
                  <w:rPr>
                    <w:rFonts w:ascii="Calibri"/>
                    <w:b/>
                    <w:color w:val="000000"/>
                    <w:sz w:val="16"/>
                  </w:rPr>
                  <w:t xml:space="preserve"> </w:t>
                </w:r>
              </w:p>
            </w:tc>
            <w:tc>
              <w:tcPr>
                <w:tcW w:w="2371" w:type="pct"/>
                <w:gridSpan w:val="14"/>
                <w:shd w:val="clear" w:color="auto" w:fill="FFFFFF"/>
                <w:tcMar>
                  <w:top w:w="15" w:type="dxa"/>
                  <w:left w:w="0" w:type="dxa"/>
                  <w:bottom w:w="0" w:type="dxa"/>
                  <w:right w:w="15" w:type="dxa"/>
                </w:tcMar>
                <w:vAlign w:val="bottom"/>
              </w:tcPr>
              <w:p w14:paraId="49F0B348" w14:textId="77777777" w:rsidR="002606E8" w:rsidRDefault="002606E8" w:rsidP="002606E8">
                <w:pPr>
                  <w:jc w:val="center"/>
                  <w:rPr>
                    <w:rFonts w:ascii="Calibri"/>
                    <w:b/>
                    <w:color w:val="000000"/>
                    <w:sz w:val="16"/>
                  </w:rPr>
                </w:pPr>
                <w:r>
                  <w:rPr>
                    <w:rFonts w:ascii="Calibri"/>
                    <w:b/>
                    <w:color w:val="000000"/>
                    <w:sz w:val="16"/>
                  </w:rPr>
                  <w:t>(unaudited)</w:t>
                </w:r>
              </w:p>
            </w:tc>
            <w:tc>
              <w:tcPr>
                <w:tcW w:w="50" w:type="pct"/>
                <w:shd w:val="clear" w:color="auto" w:fill="FFFFFF"/>
                <w:noWrap/>
                <w:tcMar>
                  <w:top w:w="15" w:type="dxa"/>
                  <w:left w:w="0" w:type="dxa"/>
                  <w:bottom w:w="0" w:type="dxa"/>
                  <w:right w:w="15" w:type="dxa"/>
                </w:tcMar>
                <w:vAlign w:val="bottom"/>
              </w:tcPr>
              <w:p w14:paraId="321AA2FB" w14:textId="77777777" w:rsidR="002606E8" w:rsidRDefault="002606E8" w:rsidP="002606E8">
                <w:pPr>
                  <w:rPr>
                    <w:rFonts w:ascii="Calibri"/>
                    <w:b/>
                    <w:color w:val="000000"/>
                    <w:sz w:val="16"/>
                  </w:rPr>
                </w:pPr>
                <w:r>
                  <w:rPr>
                    <w:rFonts w:ascii="Calibri"/>
                    <w:b/>
                    <w:color w:val="000000"/>
                    <w:sz w:val="16"/>
                  </w:rPr>
                  <w:t xml:space="preserve"> </w:t>
                </w:r>
              </w:p>
            </w:tc>
          </w:tr>
          <w:tr w:rsidR="002606E8" w14:paraId="1ECDFF53" w14:textId="77777777">
            <w:trPr>
              <w:cantSplit/>
              <w:jc w:val="center"/>
            </w:trPr>
            <w:tc>
              <w:tcPr>
                <w:tcW w:w="2517" w:type="pct"/>
                <w:shd w:val="clear" w:color="auto" w:fill="CFF0FC"/>
                <w:tcMar>
                  <w:top w:w="15" w:type="dxa"/>
                  <w:left w:w="0" w:type="dxa"/>
                  <w:bottom w:w="0" w:type="dxa"/>
                  <w:right w:w="15" w:type="dxa"/>
                </w:tcMar>
              </w:tcPr>
              <w:p w14:paraId="54D5CFC9" w14:textId="77777777" w:rsidR="002606E8" w:rsidRDefault="002606E8" w:rsidP="002606E8">
                <w:pPr>
                  <w:keepNext/>
                  <w:rPr>
                    <w:rFonts w:ascii="Calibri"/>
                    <w:color w:val="000000"/>
                    <w:sz w:val="20"/>
                  </w:rPr>
                </w:pPr>
                <w:r>
                  <w:rPr>
                    <w:rFonts w:ascii="Calibri"/>
                    <w:color w:val="000000"/>
                    <w:sz w:val="20"/>
                  </w:rPr>
                  <w:t>Interest income</w:t>
                </w:r>
              </w:p>
            </w:tc>
            <w:tc>
              <w:tcPr>
                <w:tcW w:w="61" w:type="pct"/>
                <w:shd w:val="clear" w:color="auto" w:fill="CFF0FC"/>
                <w:tcMar>
                  <w:top w:w="15" w:type="dxa"/>
                  <w:left w:w="0" w:type="dxa"/>
                  <w:bottom w:w="0" w:type="dxa"/>
                  <w:right w:w="15" w:type="dxa"/>
                </w:tcMar>
                <w:vAlign w:val="bottom"/>
              </w:tcPr>
              <w:p w14:paraId="299144E3"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50C7D66"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0B339018"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42B9A9F"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27D79E8E"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5EA6A6E"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5D01C451"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7D546C5"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C08CA42"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84425E3"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296E3C20"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505561E"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8C5831B"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C438438"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153410EB"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979C02C" w14:textId="77777777" w:rsidR="002606E8" w:rsidRDefault="002606E8" w:rsidP="002606E8">
                <w:pPr>
                  <w:rPr>
                    <w:rFonts w:ascii="Calibri"/>
                    <w:color w:val="000000"/>
                    <w:sz w:val="20"/>
                  </w:rPr>
                </w:pPr>
                <w:r>
                  <w:rPr>
                    <w:rFonts w:ascii="Calibri"/>
                    <w:color w:val="000000"/>
                    <w:sz w:val="20"/>
                  </w:rPr>
                  <w:t xml:space="preserve"> </w:t>
                </w:r>
              </w:p>
            </w:tc>
          </w:tr>
          <w:tr w:rsidR="002606E8" w14:paraId="4DE4457F" w14:textId="77777777">
            <w:trPr>
              <w:cantSplit/>
              <w:jc w:val="center"/>
            </w:trPr>
            <w:tc>
              <w:tcPr>
                <w:tcW w:w="2517" w:type="pct"/>
                <w:shd w:val="clear" w:color="auto" w:fill="FFFFFF"/>
                <w:tcMar>
                  <w:top w:w="15" w:type="dxa"/>
                  <w:left w:w="0" w:type="dxa"/>
                  <w:bottom w:w="0" w:type="dxa"/>
                  <w:right w:w="15" w:type="dxa"/>
                </w:tcMar>
              </w:tcPr>
              <w:p w14:paraId="5FC8D47D" w14:textId="77777777" w:rsidR="002606E8" w:rsidRDefault="002606E8" w:rsidP="002606E8">
                <w:pPr>
                  <w:keepNext/>
                  <w:ind w:left="274"/>
                  <w:rPr>
                    <w:rFonts w:ascii="Calibri"/>
                    <w:color w:val="000000"/>
                    <w:sz w:val="20"/>
                  </w:rPr>
                </w:pPr>
                <w:r>
                  <w:rPr>
                    <w:rFonts w:ascii="Calibri"/>
                    <w:color w:val="000000"/>
                    <w:sz w:val="20"/>
                  </w:rPr>
                  <w:t>Loans</w:t>
                </w:r>
              </w:p>
            </w:tc>
            <w:tc>
              <w:tcPr>
                <w:tcW w:w="61" w:type="pct"/>
                <w:shd w:val="clear" w:color="auto" w:fill="FFFFFF"/>
                <w:tcMar>
                  <w:top w:w="15" w:type="dxa"/>
                  <w:left w:w="0" w:type="dxa"/>
                  <w:bottom w:w="0" w:type="dxa"/>
                  <w:right w:w="15" w:type="dxa"/>
                </w:tcMar>
                <w:vAlign w:val="bottom"/>
              </w:tcPr>
              <w:p w14:paraId="368CA83C"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D1EE40E" w14:textId="77777777" w:rsidR="002606E8" w:rsidRDefault="002606E8">
                <w:pPr>
                  <w:rPr>
                    <w:rFonts w:ascii="Calibri"/>
                    <w:color w:val="000000"/>
                    <w:sz w:val="20"/>
                  </w:rPr>
                </w:pPr>
                <w:r>
                  <w:rPr>
                    <w:rFonts w:ascii="Calibri"/>
                    <w:color w:val="000000"/>
                    <w:sz w:val="20"/>
                  </w:rPr>
                  <w:t>$</w:t>
                </w:r>
              </w:p>
            </w:tc>
            <w:tc>
              <w:tcPr>
                <w:tcW w:w="459" w:type="pct"/>
                <w:shd w:val="clear" w:color="auto" w:fill="FFFFFF"/>
                <w:noWrap/>
                <w:tcMar>
                  <w:top w:w="15" w:type="dxa"/>
                  <w:left w:w="0" w:type="dxa"/>
                  <w:bottom w:w="0" w:type="dxa"/>
                  <w:right w:w="15" w:type="dxa"/>
                </w:tcMar>
                <w:vAlign w:val="bottom"/>
              </w:tcPr>
              <w:p w14:paraId="351FDA42" w14:textId="77777777" w:rsidR="002606E8" w:rsidRDefault="002606E8">
                <w:pPr>
                  <w:jc w:val="right"/>
                  <w:rPr>
                    <w:rFonts w:ascii="Calibri"/>
                    <w:color w:val="000000"/>
                    <w:sz w:val="20"/>
                  </w:rPr>
                </w:pPr>
                <w:r>
                  <w:rPr>
                    <w:rFonts w:ascii="Calibri"/>
                    <w:color w:val="000000"/>
                    <w:sz w:val="20"/>
                  </w:rPr>
                  <w:t>5,391,077</w:t>
                </w:r>
              </w:p>
            </w:tc>
            <w:tc>
              <w:tcPr>
                <w:tcW w:w="50" w:type="pct"/>
                <w:shd w:val="clear" w:color="auto" w:fill="FFFFFF"/>
                <w:noWrap/>
                <w:tcMar>
                  <w:top w:w="15" w:type="dxa"/>
                  <w:left w:w="0" w:type="dxa"/>
                  <w:bottom w:w="0" w:type="dxa"/>
                  <w:right w:w="15" w:type="dxa"/>
                </w:tcMar>
                <w:vAlign w:val="bottom"/>
              </w:tcPr>
              <w:p w14:paraId="2204E268"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306E6DC0"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7751A8C" w14:textId="77777777" w:rsidR="002606E8" w:rsidRDefault="002606E8">
                <w:pPr>
                  <w:rPr>
                    <w:rFonts w:ascii="Calibri"/>
                    <w:color w:val="000000"/>
                    <w:sz w:val="20"/>
                  </w:rPr>
                </w:pPr>
                <w:r>
                  <w:rPr>
                    <w:rFonts w:ascii="Calibri"/>
                    <w:color w:val="000000"/>
                    <w:sz w:val="20"/>
                  </w:rPr>
                  <w:t>$</w:t>
                </w:r>
              </w:p>
            </w:tc>
            <w:tc>
              <w:tcPr>
                <w:tcW w:w="459" w:type="pct"/>
                <w:shd w:val="clear" w:color="auto" w:fill="FFFFFF"/>
                <w:noWrap/>
                <w:tcMar>
                  <w:top w:w="15" w:type="dxa"/>
                  <w:left w:w="0" w:type="dxa"/>
                  <w:bottom w:w="0" w:type="dxa"/>
                  <w:right w:w="15" w:type="dxa"/>
                </w:tcMar>
                <w:vAlign w:val="bottom"/>
              </w:tcPr>
              <w:p w14:paraId="02881E64" w14:textId="77777777" w:rsidR="002606E8" w:rsidRDefault="002606E8">
                <w:pPr>
                  <w:jc w:val="right"/>
                  <w:rPr>
                    <w:rFonts w:ascii="Calibri"/>
                    <w:color w:val="000000"/>
                    <w:sz w:val="20"/>
                  </w:rPr>
                </w:pPr>
                <w:r>
                  <w:rPr>
                    <w:rFonts w:ascii="Calibri"/>
                    <w:color w:val="000000"/>
                    <w:sz w:val="20"/>
                  </w:rPr>
                  <w:t>5,136,299</w:t>
                </w:r>
              </w:p>
            </w:tc>
            <w:tc>
              <w:tcPr>
                <w:tcW w:w="50" w:type="pct"/>
                <w:shd w:val="clear" w:color="auto" w:fill="FFFFFF"/>
                <w:noWrap/>
                <w:tcMar>
                  <w:top w:w="15" w:type="dxa"/>
                  <w:left w:w="0" w:type="dxa"/>
                  <w:bottom w:w="0" w:type="dxa"/>
                  <w:right w:w="15" w:type="dxa"/>
                </w:tcMar>
                <w:vAlign w:val="bottom"/>
              </w:tcPr>
              <w:p w14:paraId="3B029847"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6D98AD3D"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53AFF04" w14:textId="77777777" w:rsidR="002606E8" w:rsidRDefault="002606E8">
                <w:pPr>
                  <w:rPr>
                    <w:rFonts w:ascii="Calibri"/>
                    <w:color w:val="000000"/>
                    <w:sz w:val="20"/>
                  </w:rPr>
                </w:pPr>
                <w:r>
                  <w:rPr>
                    <w:rFonts w:ascii="Calibri"/>
                    <w:color w:val="000000"/>
                    <w:sz w:val="20"/>
                  </w:rPr>
                  <w:t>$</w:t>
                </w:r>
              </w:p>
            </w:tc>
            <w:tc>
              <w:tcPr>
                <w:tcW w:w="459" w:type="pct"/>
                <w:shd w:val="clear" w:color="auto" w:fill="FFFFFF"/>
                <w:noWrap/>
                <w:tcMar>
                  <w:top w:w="15" w:type="dxa"/>
                  <w:left w:w="0" w:type="dxa"/>
                  <w:bottom w:w="0" w:type="dxa"/>
                  <w:right w:w="15" w:type="dxa"/>
                </w:tcMar>
                <w:vAlign w:val="bottom"/>
              </w:tcPr>
              <w:p w14:paraId="1355E7B1" w14:textId="77777777" w:rsidR="002606E8" w:rsidRDefault="002606E8">
                <w:pPr>
                  <w:jc w:val="right"/>
                  <w:rPr>
                    <w:rFonts w:ascii="Calibri"/>
                    <w:color w:val="000000"/>
                    <w:sz w:val="20"/>
                  </w:rPr>
                </w:pPr>
                <w:r>
                  <w:rPr>
                    <w:rFonts w:ascii="Calibri"/>
                    <w:color w:val="000000"/>
                    <w:sz w:val="20"/>
                  </w:rPr>
                  <w:t>15,734,259</w:t>
                </w:r>
              </w:p>
            </w:tc>
            <w:tc>
              <w:tcPr>
                <w:tcW w:w="50" w:type="pct"/>
                <w:shd w:val="clear" w:color="auto" w:fill="FFFFFF"/>
                <w:noWrap/>
                <w:tcMar>
                  <w:top w:w="15" w:type="dxa"/>
                  <w:left w:w="0" w:type="dxa"/>
                  <w:bottom w:w="0" w:type="dxa"/>
                  <w:right w:w="15" w:type="dxa"/>
                </w:tcMar>
                <w:vAlign w:val="bottom"/>
              </w:tcPr>
              <w:p w14:paraId="61A61D5B"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3CC124C5"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58AC64F1" w14:textId="77777777" w:rsidR="002606E8" w:rsidRDefault="002606E8">
                <w:pPr>
                  <w:rPr>
                    <w:rFonts w:ascii="Calibri"/>
                    <w:color w:val="000000"/>
                    <w:sz w:val="20"/>
                  </w:rPr>
                </w:pPr>
                <w:r>
                  <w:rPr>
                    <w:rFonts w:ascii="Calibri"/>
                    <w:color w:val="000000"/>
                    <w:sz w:val="20"/>
                  </w:rPr>
                  <w:t>$</w:t>
                </w:r>
              </w:p>
            </w:tc>
            <w:tc>
              <w:tcPr>
                <w:tcW w:w="459" w:type="pct"/>
                <w:shd w:val="clear" w:color="auto" w:fill="FFFFFF"/>
                <w:noWrap/>
                <w:tcMar>
                  <w:top w:w="15" w:type="dxa"/>
                  <w:left w:w="0" w:type="dxa"/>
                  <w:bottom w:w="0" w:type="dxa"/>
                  <w:right w:w="15" w:type="dxa"/>
                </w:tcMar>
                <w:vAlign w:val="bottom"/>
              </w:tcPr>
              <w:p w14:paraId="68A96769" w14:textId="77777777" w:rsidR="002606E8" w:rsidRDefault="002606E8">
                <w:pPr>
                  <w:jc w:val="right"/>
                  <w:rPr>
                    <w:rFonts w:ascii="Calibri"/>
                    <w:color w:val="000000"/>
                    <w:sz w:val="20"/>
                  </w:rPr>
                </w:pPr>
                <w:r>
                  <w:rPr>
                    <w:rFonts w:ascii="Calibri"/>
                    <w:color w:val="000000"/>
                    <w:sz w:val="20"/>
                  </w:rPr>
                  <w:t>15,147,160</w:t>
                </w:r>
              </w:p>
            </w:tc>
            <w:tc>
              <w:tcPr>
                <w:tcW w:w="50" w:type="pct"/>
                <w:shd w:val="clear" w:color="auto" w:fill="FFFFFF"/>
                <w:noWrap/>
                <w:tcMar>
                  <w:top w:w="15" w:type="dxa"/>
                  <w:left w:w="0" w:type="dxa"/>
                  <w:bottom w:w="0" w:type="dxa"/>
                  <w:right w:w="15" w:type="dxa"/>
                </w:tcMar>
                <w:vAlign w:val="bottom"/>
              </w:tcPr>
              <w:p w14:paraId="45F11CA2" w14:textId="77777777" w:rsidR="002606E8" w:rsidRDefault="002606E8">
                <w:pPr>
                  <w:rPr>
                    <w:rFonts w:ascii="Calibri"/>
                    <w:color w:val="000000"/>
                    <w:sz w:val="20"/>
                  </w:rPr>
                </w:pPr>
                <w:r>
                  <w:rPr>
                    <w:rFonts w:ascii="Calibri"/>
                    <w:color w:val="000000"/>
                    <w:sz w:val="20"/>
                  </w:rPr>
                  <w:t xml:space="preserve"> </w:t>
                </w:r>
              </w:p>
            </w:tc>
          </w:tr>
          <w:tr w:rsidR="002606E8" w14:paraId="2D03C364" w14:textId="77777777">
            <w:trPr>
              <w:cantSplit/>
              <w:jc w:val="center"/>
            </w:trPr>
            <w:tc>
              <w:tcPr>
                <w:tcW w:w="2517" w:type="pct"/>
                <w:shd w:val="clear" w:color="auto" w:fill="CFF0FC"/>
                <w:tcMar>
                  <w:top w:w="15" w:type="dxa"/>
                  <w:left w:w="0" w:type="dxa"/>
                  <w:bottom w:w="0" w:type="dxa"/>
                  <w:right w:w="15" w:type="dxa"/>
                </w:tcMar>
              </w:tcPr>
              <w:p w14:paraId="494B0063" w14:textId="77777777" w:rsidR="002606E8" w:rsidRDefault="002606E8" w:rsidP="002606E8">
                <w:pPr>
                  <w:keepNext/>
                  <w:ind w:left="274"/>
                  <w:rPr>
                    <w:rFonts w:ascii="Calibri"/>
                    <w:color w:val="000000"/>
                    <w:sz w:val="20"/>
                  </w:rPr>
                </w:pPr>
                <w:r>
                  <w:rPr>
                    <w:rFonts w:ascii="Calibri"/>
                    <w:color w:val="000000"/>
                    <w:sz w:val="20"/>
                  </w:rPr>
                  <w:t>Securities</w:t>
                </w:r>
              </w:p>
            </w:tc>
            <w:tc>
              <w:tcPr>
                <w:tcW w:w="61" w:type="pct"/>
                <w:shd w:val="clear" w:color="auto" w:fill="CFF0FC"/>
                <w:tcMar>
                  <w:top w:w="15" w:type="dxa"/>
                  <w:left w:w="0" w:type="dxa"/>
                  <w:bottom w:w="0" w:type="dxa"/>
                  <w:right w:w="15" w:type="dxa"/>
                </w:tcMar>
                <w:vAlign w:val="bottom"/>
              </w:tcPr>
              <w:p w14:paraId="5D5ABB57"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CD1EF97"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1CE15EC8"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CFDD9EE"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19E2694"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B3AA833"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04537B5B"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1B01456"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2B08E0E7"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EA8BBD9"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7A3B3F52"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DF919EC"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68644EF8"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B3670EF"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22976FCC"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6A89909" w14:textId="77777777" w:rsidR="002606E8" w:rsidRDefault="002606E8" w:rsidP="002606E8">
                <w:pPr>
                  <w:rPr>
                    <w:rFonts w:ascii="Calibri"/>
                    <w:color w:val="000000"/>
                    <w:sz w:val="20"/>
                  </w:rPr>
                </w:pPr>
                <w:r>
                  <w:rPr>
                    <w:rFonts w:ascii="Calibri"/>
                    <w:color w:val="000000"/>
                    <w:sz w:val="20"/>
                  </w:rPr>
                  <w:t xml:space="preserve"> </w:t>
                </w:r>
              </w:p>
            </w:tc>
          </w:tr>
          <w:tr w:rsidR="002606E8" w14:paraId="5B30FBD1" w14:textId="77777777">
            <w:trPr>
              <w:cantSplit/>
              <w:jc w:val="center"/>
            </w:trPr>
            <w:tc>
              <w:tcPr>
                <w:tcW w:w="2517" w:type="pct"/>
                <w:shd w:val="clear" w:color="auto" w:fill="FFFFFF"/>
                <w:tcMar>
                  <w:top w:w="15" w:type="dxa"/>
                  <w:left w:w="0" w:type="dxa"/>
                  <w:bottom w:w="0" w:type="dxa"/>
                  <w:right w:w="15" w:type="dxa"/>
                </w:tcMar>
              </w:tcPr>
              <w:p w14:paraId="046B93FF" w14:textId="77777777" w:rsidR="002606E8" w:rsidRDefault="002606E8" w:rsidP="002606E8">
                <w:pPr>
                  <w:keepNext/>
                  <w:ind w:left="547"/>
                  <w:rPr>
                    <w:rFonts w:ascii="Calibri"/>
                    <w:color w:val="000000"/>
                    <w:sz w:val="20"/>
                  </w:rPr>
                </w:pPr>
                <w:r>
                  <w:rPr>
                    <w:rFonts w:ascii="Calibri"/>
                    <w:color w:val="000000"/>
                    <w:sz w:val="20"/>
                  </w:rPr>
                  <w:t>Taxable</w:t>
                </w:r>
              </w:p>
            </w:tc>
            <w:tc>
              <w:tcPr>
                <w:tcW w:w="61" w:type="pct"/>
                <w:shd w:val="clear" w:color="auto" w:fill="FFFFFF"/>
                <w:tcMar>
                  <w:top w:w="15" w:type="dxa"/>
                  <w:left w:w="0" w:type="dxa"/>
                  <w:bottom w:w="0" w:type="dxa"/>
                  <w:right w:w="15" w:type="dxa"/>
                </w:tcMar>
                <w:vAlign w:val="bottom"/>
              </w:tcPr>
              <w:p w14:paraId="2E1947BF"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AE24760"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75D8F14F" w14:textId="77777777" w:rsidR="002606E8" w:rsidRDefault="002606E8">
                <w:pPr>
                  <w:jc w:val="right"/>
                  <w:rPr>
                    <w:rFonts w:ascii="Calibri"/>
                    <w:color w:val="000000"/>
                    <w:sz w:val="20"/>
                  </w:rPr>
                </w:pPr>
                <w:r>
                  <w:rPr>
                    <w:rFonts w:ascii="Calibri"/>
                    <w:color w:val="000000"/>
                    <w:sz w:val="20"/>
                  </w:rPr>
                  <w:t>367,857</w:t>
                </w:r>
              </w:p>
            </w:tc>
            <w:tc>
              <w:tcPr>
                <w:tcW w:w="50" w:type="pct"/>
                <w:shd w:val="clear" w:color="auto" w:fill="FFFFFF"/>
                <w:noWrap/>
                <w:tcMar>
                  <w:top w:w="15" w:type="dxa"/>
                  <w:left w:w="0" w:type="dxa"/>
                  <w:bottom w:w="0" w:type="dxa"/>
                  <w:right w:w="15" w:type="dxa"/>
                </w:tcMar>
                <w:vAlign w:val="bottom"/>
              </w:tcPr>
              <w:p w14:paraId="1EAE4FD3"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20390954"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7278D6B"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53691AA9" w14:textId="77777777" w:rsidR="002606E8" w:rsidRDefault="002606E8">
                <w:pPr>
                  <w:jc w:val="right"/>
                  <w:rPr>
                    <w:rFonts w:ascii="Calibri"/>
                    <w:color w:val="000000"/>
                    <w:sz w:val="20"/>
                  </w:rPr>
                </w:pPr>
                <w:r>
                  <w:rPr>
                    <w:rFonts w:ascii="Calibri"/>
                    <w:color w:val="000000"/>
                    <w:sz w:val="20"/>
                  </w:rPr>
                  <w:t>441,557</w:t>
                </w:r>
              </w:p>
            </w:tc>
            <w:tc>
              <w:tcPr>
                <w:tcW w:w="50" w:type="pct"/>
                <w:shd w:val="clear" w:color="auto" w:fill="FFFFFF"/>
                <w:noWrap/>
                <w:tcMar>
                  <w:top w:w="15" w:type="dxa"/>
                  <w:left w:w="0" w:type="dxa"/>
                  <w:bottom w:w="0" w:type="dxa"/>
                  <w:right w:w="15" w:type="dxa"/>
                </w:tcMar>
                <w:vAlign w:val="bottom"/>
              </w:tcPr>
              <w:p w14:paraId="0230A89B"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1FC0E24E"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5B69352"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083E7820" w14:textId="77777777" w:rsidR="002606E8" w:rsidRDefault="002606E8">
                <w:pPr>
                  <w:jc w:val="right"/>
                  <w:rPr>
                    <w:rFonts w:ascii="Calibri"/>
                    <w:color w:val="000000"/>
                    <w:sz w:val="20"/>
                  </w:rPr>
                </w:pPr>
                <w:r>
                  <w:rPr>
                    <w:rFonts w:ascii="Calibri"/>
                    <w:color w:val="000000"/>
                    <w:sz w:val="20"/>
                  </w:rPr>
                  <w:t>1,204,056</w:t>
                </w:r>
              </w:p>
            </w:tc>
            <w:tc>
              <w:tcPr>
                <w:tcW w:w="50" w:type="pct"/>
                <w:shd w:val="clear" w:color="auto" w:fill="FFFFFF"/>
                <w:noWrap/>
                <w:tcMar>
                  <w:top w:w="15" w:type="dxa"/>
                  <w:left w:w="0" w:type="dxa"/>
                  <w:bottom w:w="0" w:type="dxa"/>
                  <w:right w:w="15" w:type="dxa"/>
                </w:tcMar>
                <w:vAlign w:val="bottom"/>
              </w:tcPr>
              <w:p w14:paraId="5F93141A"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2877174B"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BC556A8"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5C9A76FF" w14:textId="77777777" w:rsidR="002606E8" w:rsidRDefault="002606E8">
                <w:pPr>
                  <w:jc w:val="right"/>
                  <w:rPr>
                    <w:rFonts w:ascii="Calibri"/>
                    <w:color w:val="000000"/>
                    <w:sz w:val="20"/>
                  </w:rPr>
                </w:pPr>
                <w:r>
                  <w:rPr>
                    <w:rFonts w:ascii="Calibri"/>
                    <w:color w:val="000000"/>
                    <w:sz w:val="20"/>
                  </w:rPr>
                  <w:t>1,383,258</w:t>
                </w:r>
              </w:p>
            </w:tc>
            <w:tc>
              <w:tcPr>
                <w:tcW w:w="50" w:type="pct"/>
                <w:shd w:val="clear" w:color="auto" w:fill="FFFFFF"/>
                <w:noWrap/>
                <w:tcMar>
                  <w:top w:w="15" w:type="dxa"/>
                  <w:left w:w="0" w:type="dxa"/>
                  <w:bottom w:w="0" w:type="dxa"/>
                  <w:right w:w="15" w:type="dxa"/>
                </w:tcMar>
                <w:vAlign w:val="bottom"/>
              </w:tcPr>
              <w:p w14:paraId="2CD3FA2B" w14:textId="77777777" w:rsidR="002606E8" w:rsidRDefault="002606E8">
                <w:pPr>
                  <w:rPr>
                    <w:rFonts w:ascii="Calibri"/>
                    <w:color w:val="000000"/>
                    <w:sz w:val="20"/>
                  </w:rPr>
                </w:pPr>
                <w:r>
                  <w:rPr>
                    <w:rFonts w:ascii="Calibri"/>
                    <w:color w:val="000000"/>
                    <w:sz w:val="20"/>
                  </w:rPr>
                  <w:t xml:space="preserve"> </w:t>
                </w:r>
              </w:p>
            </w:tc>
          </w:tr>
          <w:tr w:rsidR="002606E8" w14:paraId="71FF7C27" w14:textId="77777777">
            <w:trPr>
              <w:cantSplit/>
              <w:jc w:val="center"/>
            </w:trPr>
            <w:tc>
              <w:tcPr>
                <w:tcW w:w="2517" w:type="pct"/>
                <w:shd w:val="clear" w:color="auto" w:fill="CFF0FC"/>
                <w:tcMar>
                  <w:top w:w="15" w:type="dxa"/>
                  <w:left w:w="0" w:type="dxa"/>
                  <w:bottom w:w="0" w:type="dxa"/>
                  <w:right w:w="15" w:type="dxa"/>
                </w:tcMar>
              </w:tcPr>
              <w:p w14:paraId="0139639C" w14:textId="77777777" w:rsidR="002606E8" w:rsidRDefault="002606E8" w:rsidP="002606E8">
                <w:pPr>
                  <w:keepNext/>
                  <w:ind w:left="547"/>
                  <w:rPr>
                    <w:rFonts w:ascii="Calibri"/>
                    <w:color w:val="000000"/>
                    <w:sz w:val="20"/>
                  </w:rPr>
                </w:pPr>
                <w:r>
                  <w:rPr>
                    <w:rFonts w:ascii="Calibri"/>
                    <w:color w:val="000000"/>
                    <w:sz w:val="20"/>
                  </w:rPr>
                  <w:t>Tax-exempt</w:t>
                </w:r>
              </w:p>
            </w:tc>
            <w:tc>
              <w:tcPr>
                <w:tcW w:w="61" w:type="pct"/>
                <w:shd w:val="clear" w:color="auto" w:fill="CFF0FC"/>
                <w:tcMar>
                  <w:top w:w="15" w:type="dxa"/>
                  <w:left w:w="0" w:type="dxa"/>
                  <w:bottom w:w="0" w:type="dxa"/>
                  <w:right w:w="15" w:type="dxa"/>
                </w:tcMar>
                <w:vAlign w:val="bottom"/>
              </w:tcPr>
              <w:p w14:paraId="11AF139E"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49053DE"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2FEE24DC" w14:textId="77777777" w:rsidR="002606E8" w:rsidRDefault="002606E8">
                <w:pPr>
                  <w:jc w:val="right"/>
                  <w:rPr>
                    <w:rFonts w:ascii="Calibri"/>
                    <w:color w:val="000000"/>
                    <w:sz w:val="20"/>
                  </w:rPr>
                </w:pPr>
                <w:r>
                  <w:rPr>
                    <w:rFonts w:ascii="Calibri"/>
                    <w:color w:val="000000"/>
                    <w:sz w:val="20"/>
                  </w:rPr>
                  <w:t>13,136</w:t>
                </w:r>
              </w:p>
            </w:tc>
            <w:tc>
              <w:tcPr>
                <w:tcW w:w="50" w:type="pct"/>
                <w:shd w:val="clear" w:color="auto" w:fill="CFF0FC"/>
                <w:noWrap/>
                <w:tcMar>
                  <w:top w:w="15" w:type="dxa"/>
                  <w:left w:w="0" w:type="dxa"/>
                  <w:bottom w:w="0" w:type="dxa"/>
                  <w:right w:w="15" w:type="dxa"/>
                </w:tcMar>
                <w:vAlign w:val="bottom"/>
              </w:tcPr>
              <w:p w14:paraId="5E08C667"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11B041A3"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1D2CEB3"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7F50839D" w14:textId="77777777" w:rsidR="002606E8" w:rsidRDefault="002606E8">
                <w:pPr>
                  <w:jc w:val="right"/>
                  <w:rPr>
                    <w:rFonts w:ascii="Calibri"/>
                    <w:color w:val="000000"/>
                    <w:sz w:val="20"/>
                  </w:rPr>
                </w:pPr>
                <w:r>
                  <w:rPr>
                    <w:rFonts w:ascii="Calibri"/>
                    <w:color w:val="000000"/>
                    <w:sz w:val="20"/>
                  </w:rPr>
                  <w:t>11,836</w:t>
                </w:r>
              </w:p>
            </w:tc>
            <w:tc>
              <w:tcPr>
                <w:tcW w:w="50" w:type="pct"/>
                <w:shd w:val="clear" w:color="auto" w:fill="CFF0FC"/>
                <w:noWrap/>
                <w:tcMar>
                  <w:top w:w="15" w:type="dxa"/>
                  <w:left w:w="0" w:type="dxa"/>
                  <w:bottom w:w="0" w:type="dxa"/>
                  <w:right w:w="15" w:type="dxa"/>
                </w:tcMar>
                <w:vAlign w:val="bottom"/>
              </w:tcPr>
              <w:p w14:paraId="4ED60F07"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50B5617"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EF25BF7"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52BEE1A1" w14:textId="77777777" w:rsidR="002606E8" w:rsidRDefault="002606E8">
                <w:pPr>
                  <w:jc w:val="right"/>
                  <w:rPr>
                    <w:rFonts w:ascii="Calibri"/>
                    <w:color w:val="000000"/>
                    <w:sz w:val="20"/>
                  </w:rPr>
                </w:pPr>
                <w:r>
                  <w:rPr>
                    <w:rFonts w:ascii="Calibri"/>
                    <w:color w:val="000000"/>
                    <w:sz w:val="20"/>
                  </w:rPr>
                  <w:t>38,017</w:t>
                </w:r>
              </w:p>
            </w:tc>
            <w:tc>
              <w:tcPr>
                <w:tcW w:w="50" w:type="pct"/>
                <w:shd w:val="clear" w:color="auto" w:fill="CFF0FC"/>
                <w:noWrap/>
                <w:tcMar>
                  <w:top w:w="15" w:type="dxa"/>
                  <w:left w:w="0" w:type="dxa"/>
                  <w:bottom w:w="0" w:type="dxa"/>
                  <w:right w:w="15" w:type="dxa"/>
                </w:tcMar>
                <w:vAlign w:val="bottom"/>
              </w:tcPr>
              <w:p w14:paraId="7FE2C197"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929B178"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F8A2CED"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42EA3BE4" w14:textId="77777777" w:rsidR="002606E8" w:rsidRDefault="002606E8">
                <w:pPr>
                  <w:jc w:val="right"/>
                  <w:rPr>
                    <w:rFonts w:ascii="Calibri"/>
                    <w:color w:val="000000"/>
                    <w:sz w:val="20"/>
                  </w:rPr>
                </w:pPr>
                <w:r>
                  <w:rPr>
                    <w:rFonts w:ascii="Calibri"/>
                    <w:color w:val="000000"/>
                    <w:sz w:val="20"/>
                  </w:rPr>
                  <w:t>77,787</w:t>
                </w:r>
              </w:p>
            </w:tc>
            <w:tc>
              <w:tcPr>
                <w:tcW w:w="50" w:type="pct"/>
                <w:shd w:val="clear" w:color="auto" w:fill="CFF0FC"/>
                <w:noWrap/>
                <w:tcMar>
                  <w:top w:w="15" w:type="dxa"/>
                  <w:left w:w="0" w:type="dxa"/>
                  <w:bottom w:w="0" w:type="dxa"/>
                  <w:right w:w="15" w:type="dxa"/>
                </w:tcMar>
                <w:vAlign w:val="bottom"/>
              </w:tcPr>
              <w:p w14:paraId="2F0871B8" w14:textId="77777777" w:rsidR="002606E8" w:rsidRDefault="002606E8">
                <w:pPr>
                  <w:rPr>
                    <w:rFonts w:ascii="Calibri"/>
                    <w:color w:val="000000"/>
                    <w:sz w:val="20"/>
                  </w:rPr>
                </w:pPr>
                <w:r>
                  <w:rPr>
                    <w:rFonts w:ascii="Calibri"/>
                    <w:color w:val="000000"/>
                    <w:sz w:val="20"/>
                  </w:rPr>
                  <w:t xml:space="preserve"> </w:t>
                </w:r>
              </w:p>
            </w:tc>
          </w:tr>
          <w:tr w:rsidR="002606E8" w14:paraId="3356E0D5" w14:textId="77777777">
            <w:trPr>
              <w:cantSplit/>
              <w:jc w:val="center"/>
            </w:trPr>
            <w:tc>
              <w:tcPr>
                <w:tcW w:w="2517" w:type="pct"/>
                <w:shd w:val="clear" w:color="auto" w:fill="FFFFFF"/>
                <w:tcMar>
                  <w:top w:w="15" w:type="dxa"/>
                  <w:left w:w="0" w:type="dxa"/>
                  <w:bottom w:w="0" w:type="dxa"/>
                  <w:right w:w="15" w:type="dxa"/>
                </w:tcMar>
              </w:tcPr>
              <w:p w14:paraId="714ADBFA" w14:textId="77777777" w:rsidR="002606E8" w:rsidRDefault="002606E8" w:rsidP="002606E8">
                <w:pPr>
                  <w:keepNext/>
                  <w:ind w:left="274"/>
                  <w:rPr>
                    <w:rFonts w:ascii="Calibri"/>
                    <w:color w:val="000000"/>
                    <w:sz w:val="20"/>
                  </w:rPr>
                </w:pPr>
                <w:r>
                  <w:rPr>
                    <w:rFonts w:ascii="Calibri"/>
                    <w:color w:val="000000"/>
                    <w:sz w:val="20"/>
                  </w:rPr>
                  <w:t>Other interest-earning assets</w:t>
                </w:r>
              </w:p>
            </w:tc>
            <w:tc>
              <w:tcPr>
                <w:tcW w:w="61" w:type="pct"/>
                <w:shd w:val="clear" w:color="auto" w:fill="FFFFFF"/>
                <w:tcMar>
                  <w:top w:w="15" w:type="dxa"/>
                  <w:left w:w="0" w:type="dxa"/>
                  <w:bottom w:w="0" w:type="dxa"/>
                  <w:right w:w="15" w:type="dxa"/>
                </w:tcMar>
                <w:vAlign w:val="bottom"/>
              </w:tcPr>
              <w:p w14:paraId="5FE5F0BE"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3518AA8"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3A411C82" w14:textId="77777777" w:rsidR="002606E8" w:rsidRDefault="002606E8">
                <w:pPr>
                  <w:jc w:val="right"/>
                  <w:rPr>
                    <w:rFonts w:ascii="Calibri"/>
                    <w:color w:val="000000"/>
                    <w:sz w:val="20"/>
                  </w:rPr>
                </w:pPr>
                <w:r>
                  <w:rPr>
                    <w:rFonts w:ascii="Calibri"/>
                    <w:color w:val="000000"/>
                    <w:sz w:val="20"/>
                  </w:rPr>
                  <w:t>131,215</w:t>
                </w:r>
              </w:p>
            </w:tc>
            <w:tc>
              <w:tcPr>
                <w:tcW w:w="50" w:type="pct"/>
                <w:shd w:val="clear" w:color="auto" w:fill="FFFFFF"/>
                <w:noWrap/>
                <w:tcMar>
                  <w:top w:w="15" w:type="dxa"/>
                  <w:left w:w="0" w:type="dxa"/>
                  <w:bottom w:w="0" w:type="dxa"/>
                  <w:right w:w="15" w:type="dxa"/>
                </w:tcMar>
                <w:vAlign w:val="bottom"/>
              </w:tcPr>
              <w:p w14:paraId="6EEF7A05"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74290700"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4FE8E7F"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14AD95F3" w14:textId="77777777" w:rsidR="002606E8" w:rsidRDefault="002606E8">
                <w:pPr>
                  <w:jc w:val="right"/>
                  <w:rPr>
                    <w:rFonts w:ascii="Calibri"/>
                    <w:color w:val="000000"/>
                    <w:sz w:val="20"/>
                  </w:rPr>
                </w:pPr>
                <w:r>
                  <w:rPr>
                    <w:rFonts w:ascii="Calibri"/>
                    <w:color w:val="000000"/>
                    <w:sz w:val="20"/>
                  </w:rPr>
                  <w:t>215,048</w:t>
                </w:r>
              </w:p>
            </w:tc>
            <w:tc>
              <w:tcPr>
                <w:tcW w:w="50" w:type="pct"/>
                <w:shd w:val="clear" w:color="auto" w:fill="FFFFFF"/>
                <w:noWrap/>
                <w:tcMar>
                  <w:top w:w="15" w:type="dxa"/>
                  <w:left w:w="0" w:type="dxa"/>
                  <w:bottom w:w="0" w:type="dxa"/>
                  <w:right w:w="15" w:type="dxa"/>
                </w:tcMar>
                <w:vAlign w:val="bottom"/>
              </w:tcPr>
              <w:p w14:paraId="625E4FC3"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5726C66D"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5973498"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14C95B67" w14:textId="77777777" w:rsidR="002606E8" w:rsidRDefault="002606E8">
                <w:pPr>
                  <w:jc w:val="right"/>
                  <w:rPr>
                    <w:rFonts w:ascii="Calibri"/>
                    <w:color w:val="000000"/>
                    <w:sz w:val="20"/>
                  </w:rPr>
                </w:pPr>
                <w:r>
                  <w:rPr>
                    <w:rFonts w:ascii="Calibri"/>
                    <w:color w:val="000000"/>
                    <w:sz w:val="20"/>
                  </w:rPr>
                  <w:t>660,492</w:t>
                </w:r>
              </w:p>
            </w:tc>
            <w:tc>
              <w:tcPr>
                <w:tcW w:w="50" w:type="pct"/>
                <w:shd w:val="clear" w:color="auto" w:fill="FFFFFF"/>
                <w:noWrap/>
                <w:tcMar>
                  <w:top w:w="15" w:type="dxa"/>
                  <w:left w:w="0" w:type="dxa"/>
                  <w:bottom w:w="0" w:type="dxa"/>
                  <w:right w:w="15" w:type="dxa"/>
                </w:tcMar>
                <w:vAlign w:val="bottom"/>
              </w:tcPr>
              <w:p w14:paraId="0BC42A08"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7F8D1D70"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3AF5C27"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596F37C8" w14:textId="77777777" w:rsidR="002606E8" w:rsidRDefault="002606E8">
                <w:pPr>
                  <w:jc w:val="right"/>
                  <w:rPr>
                    <w:rFonts w:ascii="Calibri"/>
                    <w:color w:val="000000"/>
                    <w:sz w:val="20"/>
                  </w:rPr>
                </w:pPr>
                <w:r>
                  <w:rPr>
                    <w:rFonts w:ascii="Calibri"/>
                    <w:color w:val="000000"/>
                    <w:sz w:val="20"/>
                  </w:rPr>
                  <w:t>659,842</w:t>
                </w:r>
              </w:p>
            </w:tc>
            <w:tc>
              <w:tcPr>
                <w:tcW w:w="50" w:type="pct"/>
                <w:shd w:val="clear" w:color="auto" w:fill="FFFFFF"/>
                <w:noWrap/>
                <w:tcMar>
                  <w:top w:w="15" w:type="dxa"/>
                  <w:left w:w="0" w:type="dxa"/>
                  <w:bottom w:w="0" w:type="dxa"/>
                  <w:right w:w="15" w:type="dxa"/>
                </w:tcMar>
                <w:vAlign w:val="bottom"/>
              </w:tcPr>
              <w:p w14:paraId="1ABBD7EA" w14:textId="77777777" w:rsidR="002606E8" w:rsidRDefault="002606E8">
                <w:pPr>
                  <w:rPr>
                    <w:rFonts w:ascii="Calibri"/>
                    <w:color w:val="000000"/>
                    <w:sz w:val="20"/>
                  </w:rPr>
                </w:pPr>
                <w:r>
                  <w:rPr>
                    <w:rFonts w:ascii="Calibri"/>
                    <w:color w:val="000000"/>
                    <w:sz w:val="20"/>
                  </w:rPr>
                  <w:t xml:space="preserve"> </w:t>
                </w:r>
              </w:p>
            </w:tc>
          </w:tr>
          <w:tr w:rsidR="002606E8" w14:paraId="3670830D" w14:textId="77777777">
            <w:trPr>
              <w:cantSplit/>
              <w:jc w:val="center"/>
            </w:trPr>
            <w:tc>
              <w:tcPr>
                <w:tcW w:w="2517" w:type="pct"/>
                <w:shd w:val="clear" w:color="auto" w:fill="CFF0FC"/>
                <w:tcMar>
                  <w:top w:w="15" w:type="dxa"/>
                  <w:left w:w="0" w:type="dxa"/>
                  <w:bottom w:w="0" w:type="dxa"/>
                  <w:right w:w="15" w:type="dxa"/>
                </w:tcMar>
              </w:tcPr>
              <w:p w14:paraId="26FC2765" w14:textId="77777777" w:rsidR="002606E8" w:rsidRDefault="002606E8" w:rsidP="002606E8">
                <w:pPr>
                  <w:keepNext/>
                  <w:ind w:left="821"/>
                  <w:rPr>
                    <w:rFonts w:ascii="Calibri"/>
                    <w:color w:val="000000"/>
                    <w:sz w:val="20"/>
                  </w:rPr>
                </w:pPr>
                <w:r>
                  <w:rPr>
                    <w:rFonts w:ascii="Calibri"/>
                    <w:color w:val="000000"/>
                    <w:sz w:val="20"/>
                  </w:rPr>
                  <w:t>Total interest income</w:t>
                </w:r>
              </w:p>
            </w:tc>
            <w:tc>
              <w:tcPr>
                <w:tcW w:w="61" w:type="pct"/>
                <w:shd w:val="clear" w:color="auto" w:fill="CFF0FC"/>
                <w:tcMar>
                  <w:top w:w="15" w:type="dxa"/>
                  <w:left w:w="0" w:type="dxa"/>
                  <w:bottom w:w="0" w:type="dxa"/>
                  <w:right w:w="15" w:type="dxa"/>
                </w:tcMar>
                <w:vAlign w:val="bottom"/>
              </w:tcPr>
              <w:p w14:paraId="32800344"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40A1CAB"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2FACB93" w14:textId="77777777" w:rsidR="002606E8" w:rsidRDefault="002606E8">
                <w:pPr>
                  <w:jc w:val="right"/>
                  <w:rPr>
                    <w:rFonts w:ascii="Calibri"/>
                    <w:color w:val="000000"/>
                    <w:sz w:val="20"/>
                  </w:rPr>
                </w:pPr>
                <w:r>
                  <w:rPr>
                    <w:rFonts w:ascii="Calibri"/>
                    <w:color w:val="000000"/>
                    <w:sz w:val="20"/>
                  </w:rPr>
                  <w:t>5,903,285</w:t>
                </w:r>
              </w:p>
            </w:tc>
            <w:tc>
              <w:tcPr>
                <w:tcW w:w="50" w:type="pct"/>
                <w:shd w:val="clear" w:color="auto" w:fill="CFF0FC"/>
                <w:noWrap/>
                <w:tcMar>
                  <w:top w:w="15" w:type="dxa"/>
                  <w:left w:w="0" w:type="dxa"/>
                  <w:bottom w:w="0" w:type="dxa"/>
                  <w:right w:w="15" w:type="dxa"/>
                </w:tcMar>
                <w:vAlign w:val="bottom"/>
              </w:tcPr>
              <w:p w14:paraId="2A609F32"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7C7FE01"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E685916"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42E69F8" w14:textId="77777777" w:rsidR="002606E8" w:rsidRDefault="002606E8">
                <w:pPr>
                  <w:jc w:val="right"/>
                  <w:rPr>
                    <w:rFonts w:ascii="Calibri"/>
                    <w:color w:val="000000"/>
                    <w:sz w:val="20"/>
                  </w:rPr>
                </w:pPr>
                <w:r>
                  <w:rPr>
                    <w:rFonts w:ascii="Calibri"/>
                    <w:color w:val="000000"/>
                    <w:sz w:val="20"/>
                  </w:rPr>
                  <w:t>5,804,740</w:t>
                </w:r>
              </w:p>
            </w:tc>
            <w:tc>
              <w:tcPr>
                <w:tcW w:w="50" w:type="pct"/>
                <w:shd w:val="clear" w:color="auto" w:fill="CFF0FC"/>
                <w:noWrap/>
                <w:tcMar>
                  <w:top w:w="15" w:type="dxa"/>
                  <w:left w:w="0" w:type="dxa"/>
                  <w:bottom w:w="0" w:type="dxa"/>
                  <w:right w:w="15" w:type="dxa"/>
                </w:tcMar>
                <w:vAlign w:val="bottom"/>
              </w:tcPr>
              <w:p w14:paraId="33A44C26"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410A2DCA"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E8B6C02"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5BB6976" w14:textId="77777777" w:rsidR="002606E8" w:rsidRDefault="002606E8">
                <w:pPr>
                  <w:jc w:val="right"/>
                  <w:rPr>
                    <w:rFonts w:ascii="Calibri"/>
                    <w:color w:val="000000"/>
                    <w:sz w:val="20"/>
                  </w:rPr>
                </w:pPr>
                <w:r>
                  <w:rPr>
                    <w:rFonts w:ascii="Calibri"/>
                    <w:color w:val="000000"/>
                    <w:sz w:val="20"/>
                  </w:rPr>
                  <w:t>17,636,824</w:t>
                </w:r>
              </w:p>
            </w:tc>
            <w:tc>
              <w:tcPr>
                <w:tcW w:w="50" w:type="pct"/>
                <w:shd w:val="clear" w:color="auto" w:fill="CFF0FC"/>
                <w:noWrap/>
                <w:tcMar>
                  <w:top w:w="15" w:type="dxa"/>
                  <w:left w:w="0" w:type="dxa"/>
                  <w:bottom w:w="0" w:type="dxa"/>
                  <w:right w:w="15" w:type="dxa"/>
                </w:tcMar>
                <w:vAlign w:val="bottom"/>
              </w:tcPr>
              <w:p w14:paraId="01C99A74"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2E370BAA"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0C74318"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7659B07" w14:textId="77777777" w:rsidR="002606E8" w:rsidRDefault="002606E8">
                <w:pPr>
                  <w:jc w:val="right"/>
                  <w:rPr>
                    <w:rFonts w:ascii="Calibri"/>
                    <w:color w:val="000000"/>
                    <w:sz w:val="20"/>
                  </w:rPr>
                </w:pPr>
                <w:r>
                  <w:rPr>
                    <w:rFonts w:ascii="Calibri"/>
                    <w:color w:val="000000"/>
                    <w:sz w:val="20"/>
                  </w:rPr>
                  <w:t>17,268,047</w:t>
                </w:r>
              </w:p>
            </w:tc>
            <w:tc>
              <w:tcPr>
                <w:tcW w:w="50" w:type="pct"/>
                <w:shd w:val="clear" w:color="auto" w:fill="CFF0FC"/>
                <w:noWrap/>
                <w:tcMar>
                  <w:top w:w="15" w:type="dxa"/>
                  <w:left w:w="0" w:type="dxa"/>
                  <w:bottom w:w="0" w:type="dxa"/>
                  <w:right w:w="15" w:type="dxa"/>
                </w:tcMar>
                <w:vAlign w:val="bottom"/>
              </w:tcPr>
              <w:p w14:paraId="1FF934EF" w14:textId="77777777" w:rsidR="002606E8" w:rsidRDefault="002606E8">
                <w:pPr>
                  <w:rPr>
                    <w:rFonts w:ascii="Calibri"/>
                    <w:color w:val="000000"/>
                    <w:sz w:val="20"/>
                  </w:rPr>
                </w:pPr>
                <w:r>
                  <w:rPr>
                    <w:rFonts w:ascii="Calibri"/>
                    <w:color w:val="000000"/>
                    <w:sz w:val="20"/>
                  </w:rPr>
                  <w:t xml:space="preserve"> </w:t>
                </w:r>
              </w:p>
            </w:tc>
          </w:tr>
          <w:tr w:rsidR="002606E8" w14:paraId="1C6699DA" w14:textId="77777777">
            <w:trPr>
              <w:cantSplit/>
              <w:jc w:val="center"/>
            </w:trPr>
            <w:tc>
              <w:tcPr>
                <w:tcW w:w="2517" w:type="pct"/>
                <w:shd w:val="clear" w:color="auto" w:fill="FFFFFF"/>
                <w:tcMar>
                  <w:top w:w="15" w:type="dxa"/>
                  <w:left w:w="0" w:type="dxa"/>
                  <w:bottom w:w="0" w:type="dxa"/>
                  <w:right w:w="15" w:type="dxa"/>
                </w:tcMar>
              </w:tcPr>
              <w:p w14:paraId="1560557A" w14:textId="77777777" w:rsidR="002606E8" w:rsidRDefault="002606E8" w:rsidP="002606E8">
                <w:pPr>
                  <w:keepNext/>
                  <w:rPr>
                    <w:rFonts w:ascii="Calibri"/>
                    <w:color w:val="000000"/>
                    <w:sz w:val="20"/>
                  </w:rPr>
                </w:pPr>
                <w:r>
                  <w:rPr>
                    <w:rFonts w:ascii="Calibri"/>
                    <w:color w:val="000000"/>
                    <w:sz w:val="20"/>
                  </w:rPr>
                  <w:t>Interest expense</w:t>
                </w:r>
              </w:p>
            </w:tc>
            <w:tc>
              <w:tcPr>
                <w:tcW w:w="61" w:type="pct"/>
                <w:shd w:val="clear" w:color="auto" w:fill="FFFFFF"/>
                <w:tcMar>
                  <w:top w:w="15" w:type="dxa"/>
                  <w:left w:w="0" w:type="dxa"/>
                  <w:bottom w:w="0" w:type="dxa"/>
                  <w:right w:w="15" w:type="dxa"/>
                </w:tcMar>
                <w:vAlign w:val="bottom"/>
              </w:tcPr>
              <w:p w14:paraId="2BBBF54D"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4BE457D"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727CC74A"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7F65DE4"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017CBEFC"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9B78424"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00553492"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5FCE7BB3"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0F6C5C22"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B174337"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567A7E07"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441C5B5"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5A4A918F"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9BF0EDC"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31AA0E0D"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3E9D393" w14:textId="77777777" w:rsidR="002606E8" w:rsidRDefault="002606E8" w:rsidP="002606E8">
                <w:pPr>
                  <w:rPr>
                    <w:rFonts w:ascii="Calibri"/>
                    <w:color w:val="000000"/>
                    <w:sz w:val="20"/>
                  </w:rPr>
                </w:pPr>
                <w:r>
                  <w:rPr>
                    <w:rFonts w:ascii="Calibri"/>
                    <w:color w:val="000000"/>
                    <w:sz w:val="20"/>
                  </w:rPr>
                  <w:t xml:space="preserve"> </w:t>
                </w:r>
              </w:p>
            </w:tc>
          </w:tr>
          <w:tr w:rsidR="002606E8" w14:paraId="0292C47C" w14:textId="77777777">
            <w:trPr>
              <w:cantSplit/>
              <w:jc w:val="center"/>
            </w:trPr>
            <w:tc>
              <w:tcPr>
                <w:tcW w:w="2517" w:type="pct"/>
                <w:shd w:val="clear" w:color="auto" w:fill="CFF0FC"/>
                <w:tcMar>
                  <w:top w:w="15" w:type="dxa"/>
                  <w:left w:w="0" w:type="dxa"/>
                  <w:bottom w:w="0" w:type="dxa"/>
                  <w:right w:w="15" w:type="dxa"/>
                </w:tcMar>
              </w:tcPr>
              <w:p w14:paraId="272905CE" w14:textId="77777777" w:rsidR="002606E8" w:rsidRDefault="002606E8" w:rsidP="002606E8">
                <w:pPr>
                  <w:keepNext/>
                  <w:ind w:left="274"/>
                  <w:rPr>
                    <w:rFonts w:ascii="Calibri"/>
                    <w:color w:val="000000"/>
                    <w:sz w:val="20"/>
                  </w:rPr>
                </w:pPr>
                <w:r>
                  <w:rPr>
                    <w:rFonts w:ascii="Calibri"/>
                    <w:color w:val="000000"/>
                    <w:sz w:val="20"/>
                  </w:rPr>
                  <w:t>Deposits</w:t>
                </w:r>
              </w:p>
            </w:tc>
            <w:tc>
              <w:tcPr>
                <w:tcW w:w="61" w:type="pct"/>
                <w:shd w:val="clear" w:color="auto" w:fill="CFF0FC"/>
                <w:tcMar>
                  <w:top w:w="15" w:type="dxa"/>
                  <w:left w:w="0" w:type="dxa"/>
                  <w:bottom w:w="0" w:type="dxa"/>
                  <w:right w:w="15" w:type="dxa"/>
                </w:tcMar>
                <w:vAlign w:val="bottom"/>
              </w:tcPr>
              <w:p w14:paraId="6BD07FDB"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8C5F476"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1D402F1B" w14:textId="77777777" w:rsidR="002606E8" w:rsidRDefault="002606E8">
                <w:pPr>
                  <w:jc w:val="right"/>
                  <w:rPr>
                    <w:rFonts w:ascii="Calibri"/>
                    <w:color w:val="000000"/>
                    <w:sz w:val="20"/>
                  </w:rPr>
                </w:pPr>
                <w:r>
                  <w:rPr>
                    <w:rFonts w:ascii="Calibri"/>
                    <w:color w:val="000000"/>
                    <w:sz w:val="20"/>
                  </w:rPr>
                  <w:t>1,836,627</w:t>
                </w:r>
              </w:p>
            </w:tc>
            <w:tc>
              <w:tcPr>
                <w:tcW w:w="50" w:type="pct"/>
                <w:shd w:val="clear" w:color="auto" w:fill="CFF0FC"/>
                <w:noWrap/>
                <w:tcMar>
                  <w:top w:w="15" w:type="dxa"/>
                  <w:left w:w="0" w:type="dxa"/>
                  <w:bottom w:w="0" w:type="dxa"/>
                  <w:right w:w="15" w:type="dxa"/>
                </w:tcMar>
                <w:vAlign w:val="bottom"/>
              </w:tcPr>
              <w:p w14:paraId="425BE94A"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B11847D"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A1489A0"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10F08D47" w14:textId="77777777" w:rsidR="002606E8" w:rsidRDefault="002606E8">
                <w:pPr>
                  <w:jc w:val="right"/>
                  <w:rPr>
                    <w:rFonts w:ascii="Calibri"/>
                    <w:color w:val="000000"/>
                    <w:sz w:val="20"/>
                  </w:rPr>
                </w:pPr>
                <w:r>
                  <w:rPr>
                    <w:rFonts w:ascii="Calibri"/>
                    <w:color w:val="000000"/>
                    <w:sz w:val="20"/>
                  </w:rPr>
                  <w:t>2,485,223</w:t>
                </w:r>
              </w:p>
            </w:tc>
            <w:tc>
              <w:tcPr>
                <w:tcW w:w="50" w:type="pct"/>
                <w:shd w:val="clear" w:color="auto" w:fill="CFF0FC"/>
                <w:noWrap/>
                <w:tcMar>
                  <w:top w:w="15" w:type="dxa"/>
                  <w:left w:w="0" w:type="dxa"/>
                  <w:bottom w:w="0" w:type="dxa"/>
                  <w:right w:w="15" w:type="dxa"/>
                </w:tcMar>
                <w:vAlign w:val="bottom"/>
              </w:tcPr>
              <w:p w14:paraId="7768A193"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40B7ADE"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77550DE"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7AAC33A7" w14:textId="77777777" w:rsidR="002606E8" w:rsidRDefault="002606E8">
                <w:pPr>
                  <w:jc w:val="right"/>
                  <w:rPr>
                    <w:rFonts w:ascii="Calibri"/>
                    <w:color w:val="000000"/>
                    <w:sz w:val="20"/>
                  </w:rPr>
                </w:pPr>
                <w:r>
                  <w:rPr>
                    <w:rFonts w:ascii="Calibri"/>
                    <w:color w:val="000000"/>
                    <w:sz w:val="20"/>
                  </w:rPr>
                  <w:t>6,194,460</w:t>
                </w:r>
              </w:p>
            </w:tc>
            <w:tc>
              <w:tcPr>
                <w:tcW w:w="50" w:type="pct"/>
                <w:shd w:val="clear" w:color="auto" w:fill="CFF0FC"/>
                <w:noWrap/>
                <w:tcMar>
                  <w:top w:w="15" w:type="dxa"/>
                  <w:left w:w="0" w:type="dxa"/>
                  <w:bottom w:w="0" w:type="dxa"/>
                  <w:right w:w="15" w:type="dxa"/>
                </w:tcMar>
                <w:vAlign w:val="bottom"/>
              </w:tcPr>
              <w:p w14:paraId="3B469A29"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1E94E08D"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07749E7"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0B5B041A" w14:textId="77777777" w:rsidR="002606E8" w:rsidRDefault="002606E8">
                <w:pPr>
                  <w:jc w:val="right"/>
                  <w:rPr>
                    <w:rFonts w:ascii="Calibri"/>
                    <w:color w:val="000000"/>
                    <w:sz w:val="20"/>
                  </w:rPr>
                </w:pPr>
                <w:r>
                  <w:rPr>
                    <w:rFonts w:ascii="Calibri"/>
                    <w:color w:val="000000"/>
                    <w:sz w:val="20"/>
                  </w:rPr>
                  <w:t>7,433,088</w:t>
                </w:r>
              </w:p>
            </w:tc>
            <w:tc>
              <w:tcPr>
                <w:tcW w:w="50" w:type="pct"/>
                <w:shd w:val="clear" w:color="auto" w:fill="CFF0FC"/>
                <w:noWrap/>
                <w:tcMar>
                  <w:top w:w="15" w:type="dxa"/>
                  <w:left w:w="0" w:type="dxa"/>
                  <w:bottom w:w="0" w:type="dxa"/>
                  <w:right w:w="15" w:type="dxa"/>
                </w:tcMar>
                <w:vAlign w:val="bottom"/>
              </w:tcPr>
              <w:p w14:paraId="3DB9237A" w14:textId="77777777" w:rsidR="002606E8" w:rsidRDefault="002606E8">
                <w:pPr>
                  <w:rPr>
                    <w:rFonts w:ascii="Calibri"/>
                    <w:color w:val="000000"/>
                    <w:sz w:val="20"/>
                  </w:rPr>
                </w:pPr>
                <w:r>
                  <w:rPr>
                    <w:rFonts w:ascii="Calibri"/>
                    <w:color w:val="000000"/>
                    <w:sz w:val="20"/>
                  </w:rPr>
                  <w:t xml:space="preserve"> </w:t>
                </w:r>
              </w:p>
            </w:tc>
          </w:tr>
          <w:tr w:rsidR="002606E8" w14:paraId="1107F845" w14:textId="77777777">
            <w:trPr>
              <w:cantSplit/>
              <w:jc w:val="center"/>
            </w:trPr>
            <w:tc>
              <w:tcPr>
                <w:tcW w:w="2517" w:type="pct"/>
                <w:shd w:val="clear" w:color="auto" w:fill="FFFFFF"/>
                <w:tcMar>
                  <w:top w:w="15" w:type="dxa"/>
                  <w:left w:w="0" w:type="dxa"/>
                  <w:bottom w:w="0" w:type="dxa"/>
                  <w:right w:w="15" w:type="dxa"/>
                </w:tcMar>
              </w:tcPr>
              <w:p w14:paraId="53886F42" w14:textId="77777777" w:rsidR="002606E8" w:rsidRDefault="002606E8" w:rsidP="002606E8">
                <w:pPr>
                  <w:keepNext/>
                  <w:ind w:left="274"/>
                  <w:rPr>
                    <w:rFonts w:ascii="Calibri"/>
                    <w:color w:val="000000"/>
                    <w:sz w:val="20"/>
                  </w:rPr>
                </w:pPr>
                <w:r>
                  <w:rPr>
                    <w:rFonts w:ascii="Calibri"/>
                    <w:color w:val="000000"/>
                    <w:sz w:val="20"/>
                  </w:rPr>
                  <w:t>FHLB advances</w:t>
                </w:r>
              </w:p>
            </w:tc>
            <w:tc>
              <w:tcPr>
                <w:tcW w:w="61" w:type="pct"/>
                <w:shd w:val="clear" w:color="auto" w:fill="FFFFFF"/>
                <w:tcMar>
                  <w:top w:w="15" w:type="dxa"/>
                  <w:left w:w="0" w:type="dxa"/>
                  <w:bottom w:w="0" w:type="dxa"/>
                  <w:right w:w="15" w:type="dxa"/>
                </w:tcMar>
                <w:vAlign w:val="bottom"/>
              </w:tcPr>
              <w:p w14:paraId="3421293F"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7382070"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3F415EA0" w14:textId="77777777" w:rsidR="002606E8" w:rsidRDefault="002606E8">
                <w:pPr>
                  <w:jc w:val="right"/>
                  <w:rPr>
                    <w:rFonts w:ascii="Calibri"/>
                    <w:color w:val="000000"/>
                    <w:sz w:val="20"/>
                  </w:rPr>
                </w:pPr>
                <w:r>
                  <w:rPr>
                    <w:rFonts w:ascii="Calibri"/>
                    <w:color w:val="000000"/>
                    <w:sz w:val="20"/>
                  </w:rPr>
                  <w:t>472,506</w:t>
                </w:r>
              </w:p>
            </w:tc>
            <w:tc>
              <w:tcPr>
                <w:tcW w:w="50" w:type="pct"/>
                <w:shd w:val="clear" w:color="auto" w:fill="FFFFFF"/>
                <w:noWrap/>
                <w:tcMar>
                  <w:top w:w="15" w:type="dxa"/>
                  <w:left w:w="0" w:type="dxa"/>
                  <w:bottom w:w="0" w:type="dxa"/>
                  <w:right w:w="15" w:type="dxa"/>
                </w:tcMar>
                <w:vAlign w:val="bottom"/>
              </w:tcPr>
              <w:p w14:paraId="49D7F65E"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7D13509B"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908500E"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7EF40BC3" w14:textId="77777777" w:rsidR="002606E8" w:rsidRDefault="002606E8">
                <w:pPr>
                  <w:jc w:val="right"/>
                  <w:rPr>
                    <w:rFonts w:ascii="Calibri"/>
                    <w:color w:val="000000"/>
                    <w:sz w:val="20"/>
                  </w:rPr>
                </w:pPr>
                <w:r>
                  <w:rPr>
                    <w:rFonts w:ascii="Calibri"/>
                    <w:color w:val="000000"/>
                    <w:sz w:val="20"/>
                  </w:rPr>
                  <w:t>568,740</w:t>
                </w:r>
              </w:p>
            </w:tc>
            <w:tc>
              <w:tcPr>
                <w:tcW w:w="50" w:type="pct"/>
                <w:shd w:val="clear" w:color="auto" w:fill="FFFFFF"/>
                <w:noWrap/>
                <w:tcMar>
                  <w:top w:w="15" w:type="dxa"/>
                  <w:left w:w="0" w:type="dxa"/>
                  <w:bottom w:w="0" w:type="dxa"/>
                  <w:right w:w="15" w:type="dxa"/>
                </w:tcMar>
                <w:vAlign w:val="bottom"/>
              </w:tcPr>
              <w:p w14:paraId="73744082"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4DDBA10E"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DBE6A3A"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0CFE329A" w14:textId="77777777" w:rsidR="002606E8" w:rsidRDefault="002606E8">
                <w:pPr>
                  <w:jc w:val="right"/>
                  <w:rPr>
                    <w:rFonts w:ascii="Calibri"/>
                    <w:color w:val="000000"/>
                    <w:sz w:val="20"/>
                  </w:rPr>
                </w:pPr>
                <w:r>
                  <w:rPr>
                    <w:rFonts w:ascii="Calibri"/>
                    <w:color w:val="000000"/>
                    <w:sz w:val="20"/>
                  </w:rPr>
                  <w:t>1,478,432</w:t>
                </w:r>
              </w:p>
            </w:tc>
            <w:tc>
              <w:tcPr>
                <w:tcW w:w="50" w:type="pct"/>
                <w:shd w:val="clear" w:color="auto" w:fill="FFFFFF"/>
                <w:noWrap/>
                <w:tcMar>
                  <w:top w:w="15" w:type="dxa"/>
                  <w:left w:w="0" w:type="dxa"/>
                  <w:bottom w:w="0" w:type="dxa"/>
                  <w:right w:w="15" w:type="dxa"/>
                </w:tcMar>
                <w:vAlign w:val="bottom"/>
              </w:tcPr>
              <w:p w14:paraId="0EE7F76B"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740B838F"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8C2EDEC"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692E6301" w14:textId="77777777" w:rsidR="002606E8" w:rsidRDefault="002606E8">
                <w:pPr>
                  <w:jc w:val="right"/>
                  <w:rPr>
                    <w:rFonts w:ascii="Calibri"/>
                    <w:color w:val="000000"/>
                    <w:sz w:val="20"/>
                  </w:rPr>
                </w:pPr>
                <w:r>
                  <w:rPr>
                    <w:rFonts w:ascii="Calibri"/>
                    <w:color w:val="000000"/>
                    <w:sz w:val="20"/>
                  </w:rPr>
                  <w:t>1,487,479</w:t>
                </w:r>
              </w:p>
            </w:tc>
            <w:tc>
              <w:tcPr>
                <w:tcW w:w="50" w:type="pct"/>
                <w:shd w:val="clear" w:color="auto" w:fill="FFFFFF"/>
                <w:noWrap/>
                <w:tcMar>
                  <w:top w:w="15" w:type="dxa"/>
                  <w:left w:w="0" w:type="dxa"/>
                  <w:bottom w:w="0" w:type="dxa"/>
                  <w:right w:w="15" w:type="dxa"/>
                </w:tcMar>
                <w:vAlign w:val="bottom"/>
              </w:tcPr>
              <w:p w14:paraId="33990956" w14:textId="77777777" w:rsidR="002606E8" w:rsidRDefault="002606E8">
                <w:pPr>
                  <w:rPr>
                    <w:rFonts w:ascii="Calibri"/>
                    <w:color w:val="000000"/>
                    <w:sz w:val="20"/>
                  </w:rPr>
                </w:pPr>
                <w:r>
                  <w:rPr>
                    <w:rFonts w:ascii="Calibri"/>
                    <w:color w:val="000000"/>
                    <w:sz w:val="20"/>
                  </w:rPr>
                  <w:t xml:space="preserve"> </w:t>
                </w:r>
              </w:p>
            </w:tc>
          </w:tr>
          <w:tr w:rsidR="002606E8" w14:paraId="082ABBA3" w14:textId="77777777">
            <w:trPr>
              <w:cantSplit/>
              <w:jc w:val="center"/>
            </w:trPr>
            <w:tc>
              <w:tcPr>
                <w:tcW w:w="2517" w:type="pct"/>
                <w:shd w:val="clear" w:color="auto" w:fill="CFF0FC"/>
                <w:tcMar>
                  <w:top w:w="15" w:type="dxa"/>
                  <w:left w:w="0" w:type="dxa"/>
                  <w:bottom w:w="0" w:type="dxa"/>
                  <w:right w:w="15" w:type="dxa"/>
                </w:tcMar>
              </w:tcPr>
              <w:p w14:paraId="79CC223D" w14:textId="77777777" w:rsidR="002606E8" w:rsidRDefault="002606E8" w:rsidP="002606E8">
                <w:pPr>
                  <w:keepNext/>
                  <w:ind w:left="821"/>
                  <w:rPr>
                    <w:rFonts w:ascii="Calibri"/>
                    <w:color w:val="000000"/>
                    <w:sz w:val="20"/>
                  </w:rPr>
                </w:pPr>
                <w:r>
                  <w:rPr>
                    <w:rFonts w:ascii="Calibri"/>
                    <w:color w:val="000000"/>
                    <w:sz w:val="20"/>
                  </w:rPr>
                  <w:t>Total interest expense</w:t>
                </w:r>
              </w:p>
            </w:tc>
            <w:tc>
              <w:tcPr>
                <w:tcW w:w="61" w:type="pct"/>
                <w:shd w:val="clear" w:color="auto" w:fill="CFF0FC"/>
                <w:tcMar>
                  <w:top w:w="15" w:type="dxa"/>
                  <w:left w:w="0" w:type="dxa"/>
                  <w:bottom w:w="0" w:type="dxa"/>
                  <w:right w:w="15" w:type="dxa"/>
                </w:tcMar>
                <w:vAlign w:val="bottom"/>
              </w:tcPr>
              <w:p w14:paraId="274A80B0"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037A398"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18BFF3F" w14:textId="77777777" w:rsidR="002606E8" w:rsidRDefault="002606E8">
                <w:pPr>
                  <w:jc w:val="right"/>
                  <w:rPr>
                    <w:rFonts w:ascii="Calibri"/>
                    <w:color w:val="000000"/>
                    <w:sz w:val="20"/>
                  </w:rPr>
                </w:pPr>
                <w:r>
                  <w:rPr>
                    <w:rFonts w:ascii="Calibri"/>
                    <w:color w:val="000000"/>
                    <w:sz w:val="20"/>
                  </w:rPr>
                  <w:t>2,309,133</w:t>
                </w:r>
              </w:p>
            </w:tc>
            <w:tc>
              <w:tcPr>
                <w:tcW w:w="50" w:type="pct"/>
                <w:shd w:val="clear" w:color="auto" w:fill="CFF0FC"/>
                <w:noWrap/>
                <w:tcMar>
                  <w:top w:w="15" w:type="dxa"/>
                  <w:left w:w="0" w:type="dxa"/>
                  <w:bottom w:w="0" w:type="dxa"/>
                  <w:right w:w="15" w:type="dxa"/>
                </w:tcMar>
                <w:vAlign w:val="bottom"/>
              </w:tcPr>
              <w:p w14:paraId="12CBE5A3"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3355836"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085D9B9"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9FE5A55" w14:textId="77777777" w:rsidR="002606E8" w:rsidRDefault="002606E8">
                <w:pPr>
                  <w:jc w:val="right"/>
                  <w:rPr>
                    <w:rFonts w:ascii="Calibri"/>
                    <w:color w:val="000000"/>
                    <w:sz w:val="20"/>
                  </w:rPr>
                </w:pPr>
                <w:r>
                  <w:rPr>
                    <w:rFonts w:ascii="Calibri"/>
                    <w:color w:val="000000"/>
                    <w:sz w:val="20"/>
                  </w:rPr>
                  <w:t>3,053,963</w:t>
                </w:r>
              </w:p>
            </w:tc>
            <w:tc>
              <w:tcPr>
                <w:tcW w:w="50" w:type="pct"/>
                <w:shd w:val="clear" w:color="auto" w:fill="CFF0FC"/>
                <w:noWrap/>
                <w:tcMar>
                  <w:top w:w="15" w:type="dxa"/>
                  <w:left w:w="0" w:type="dxa"/>
                  <w:bottom w:w="0" w:type="dxa"/>
                  <w:right w:w="15" w:type="dxa"/>
                </w:tcMar>
                <w:vAlign w:val="bottom"/>
              </w:tcPr>
              <w:p w14:paraId="3DDC5DB3"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4A03684E"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FC54EBA"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F6A1FF8" w14:textId="77777777" w:rsidR="002606E8" w:rsidRDefault="002606E8">
                <w:pPr>
                  <w:jc w:val="right"/>
                  <w:rPr>
                    <w:rFonts w:ascii="Calibri"/>
                    <w:color w:val="000000"/>
                    <w:sz w:val="20"/>
                  </w:rPr>
                </w:pPr>
                <w:r>
                  <w:rPr>
                    <w:rFonts w:ascii="Calibri"/>
                    <w:color w:val="000000"/>
                    <w:sz w:val="20"/>
                  </w:rPr>
                  <w:t>7,672,892</w:t>
                </w:r>
              </w:p>
            </w:tc>
            <w:tc>
              <w:tcPr>
                <w:tcW w:w="50" w:type="pct"/>
                <w:shd w:val="clear" w:color="auto" w:fill="CFF0FC"/>
                <w:noWrap/>
                <w:tcMar>
                  <w:top w:w="15" w:type="dxa"/>
                  <w:left w:w="0" w:type="dxa"/>
                  <w:bottom w:w="0" w:type="dxa"/>
                  <w:right w:w="15" w:type="dxa"/>
                </w:tcMar>
                <w:vAlign w:val="bottom"/>
              </w:tcPr>
              <w:p w14:paraId="3559443D"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C9B9527"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7B5CD77"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4980EF8" w14:textId="77777777" w:rsidR="002606E8" w:rsidRDefault="002606E8">
                <w:pPr>
                  <w:jc w:val="right"/>
                  <w:rPr>
                    <w:rFonts w:ascii="Calibri"/>
                    <w:color w:val="000000"/>
                    <w:sz w:val="20"/>
                  </w:rPr>
                </w:pPr>
                <w:r>
                  <w:rPr>
                    <w:rFonts w:ascii="Calibri"/>
                    <w:color w:val="000000"/>
                    <w:sz w:val="20"/>
                  </w:rPr>
                  <w:t>8,920,567</w:t>
                </w:r>
              </w:p>
            </w:tc>
            <w:tc>
              <w:tcPr>
                <w:tcW w:w="50" w:type="pct"/>
                <w:shd w:val="clear" w:color="auto" w:fill="CFF0FC"/>
                <w:noWrap/>
                <w:tcMar>
                  <w:top w:w="15" w:type="dxa"/>
                  <w:left w:w="0" w:type="dxa"/>
                  <w:bottom w:w="0" w:type="dxa"/>
                  <w:right w:w="15" w:type="dxa"/>
                </w:tcMar>
                <w:vAlign w:val="bottom"/>
              </w:tcPr>
              <w:p w14:paraId="68831788" w14:textId="77777777" w:rsidR="002606E8" w:rsidRDefault="002606E8">
                <w:pPr>
                  <w:rPr>
                    <w:rFonts w:ascii="Calibri"/>
                    <w:color w:val="000000"/>
                    <w:sz w:val="20"/>
                  </w:rPr>
                </w:pPr>
                <w:r>
                  <w:rPr>
                    <w:rFonts w:ascii="Calibri"/>
                    <w:color w:val="000000"/>
                    <w:sz w:val="20"/>
                  </w:rPr>
                  <w:t xml:space="preserve"> </w:t>
                </w:r>
              </w:p>
            </w:tc>
          </w:tr>
          <w:tr w:rsidR="002606E8" w14:paraId="54283EC3" w14:textId="77777777">
            <w:trPr>
              <w:cantSplit/>
              <w:jc w:val="center"/>
            </w:trPr>
            <w:tc>
              <w:tcPr>
                <w:tcW w:w="2517" w:type="pct"/>
                <w:shd w:val="clear" w:color="auto" w:fill="FFFFFF"/>
                <w:tcMar>
                  <w:top w:w="15" w:type="dxa"/>
                  <w:left w:w="0" w:type="dxa"/>
                  <w:bottom w:w="0" w:type="dxa"/>
                  <w:right w:w="15" w:type="dxa"/>
                </w:tcMar>
              </w:tcPr>
              <w:p w14:paraId="6A6D2006" w14:textId="77777777" w:rsidR="002606E8" w:rsidRDefault="002606E8" w:rsidP="002606E8">
                <w:pPr>
                  <w:keepNext/>
                  <w:rPr>
                    <w:rFonts w:ascii="Calibri"/>
                    <w:color w:val="000000"/>
                    <w:sz w:val="20"/>
                  </w:rPr>
                </w:pPr>
                <w:r>
                  <w:rPr>
                    <w:rFonts w:ascii="Calibri"/>
                    <w:color w:val="000000"/>
                    <w:sz w:val="20"/>
                  </w:rPr>
                  <w:t>Net interest income</w:t>
                </w:r>
              </w:p>
            </w:tc>
            <w:tc>
              <w:tcPr>
                <w:tcW w:w="61" w:type="pct"/>
                <w:shd w:val="clear" w:color="auto" w:fill="FFFFFF"/>
                <w:tcMar>
                  <w:top w:w="15" w:type="dxa"/>
                  <w:left w:w="0" w:type="dxa"/>
                  <w:bottom w:w="0" w:type="dxa"/>
                  <w:right w:w="15" w:type="dxa"/>
                </w:tcMar>
                <w:vAlign w:val="bottom"/>
              </w:tcPr>
              <w:p w14:paraId="77726EC7"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C10B802"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28701E56" w14:textId="77777777" w:rsidR="002606E8" w:rsidRDefault="002606E8">
                <w:pPr>
                  <w:jc w:val="right"/>
                  <w:rPr>
                    <w:rFonts w:ascii="Calibri"/>
                    <w:color w:val="000000"/>
                    <w:sz w:val="20"/>
                  </w:rPr>
                </w:pPr>
                <w:r>
                  <w:rPr>
                    <w:rFonts w:ascii="Calibri"/>
                    <w:color w:val="000000"/>
                    <w:sz w:val="20"/>
                  </w:rPr>
                  <w:t>3,594,152</w:t>
                </w:r>
              </w:p>
            </w:tc>
            <w:tc>
              <w:tcPr>
                <w:tcW w:w="50" w:type="pct"/>
                <w:shd w:val="clear" w:color="auto" w:fill="FFFFFF"/>
                <w:noWrap/>
                <w:tcMar>
                  <w:top w:w="15" w:type="dxa"/>
                  <w:left w:w="0" w:type="dxa"/>
                  <w:bottom w:w="0" w:type="dxa"/>
                  <w:right w:w="15" w:type="dxa"/>
                </w:tcMar>
                <w:vAlign w:val="bottom"/>
              </w:tcPr>
              <w:p w14:paraId="70489B96"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2C85BB3C"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16CBC73"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63863E79" w14:textId="77777777" w:rsidR="002606E8" w:rsidRDefault="002606E8">
                <w:pPr>
                  <w:jc w:val="right"/>
                  <w:rPr>
                    <w:rFonts w:ascii="Calibri"/>
                    <w:color w:val="000000"/>
                    <w:sz w:val="20"/>
                  </w:rPr>
                </w:pPr>
                <w:r>
                  <w:rPr>
                    <w:rFonts w:ascii="Calibri"/>
                    <w:color w:val="000000"/>
                    <w:sz w:val="20"/>
                  </w:rPr>
                  <w:t>2,750,777</w:t>
                </w:r>
              </w:p>
            </w:tc>
            <w:tc>
              <w:tcPr>
                <w:tcW w:w="50" w:type="pct"/>
                <w:shd w:val="clear" w:color="auto" w:fill="FFFFFF"/>
                <w:noWrap/>
                <w:tcMar>
                  <w:top w:w="15" w:type="dxa"/>
                  <w:left w:w="0" w:type="dxa"/>
                  <w:bottom w:w="0" w:type="dxa"/>
                  <w:right w:w="15" w:type="dxa"/>
                </w:tcMar>
                <w:vAlign w:val="bottom"/>
              </w:tcPr>
              <w:p w14:paraId="301798BA"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144AD936"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67BA497"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206602A2" w14:textId="77777777" w:rsidR="002606E8" w:rsidRDefault="002606E8">
                <w:pPr>
                  <w:jc w:val="right"/>
                  <w:rPr>
                    <w:rFonts w:ascii="Calibri"/>
                    <w:color w:val="000000"/>
                    <w:sz w:val="20"/>
                  </w:rPr>
                </w:pPr>
                <w:r>
                  <w:rPr>
                    <w:rFonts w:ascii="Calibri"/>
                    <w:color w:val="000000"/>
                    <w:sz w:val="20"/>
                  </w:rPr>
                  <w:t>9,963,932</w:t>
                </w:r>
              </w:p>
            </w:tc>
            <w:tc>
              <w:tcPr>
                <w:tcW w:w="50" w:type="pct"/>
                <w:shd w:val="clear" w:color="auto" w:fill="FFFFFF"/>
                <w:noWrap/>
                <w:tcMar>
                  <w:top w:w="15" w:type="dxa"/>
                  <w:left w:w="0" w:type="dxa"/>
                  <w:bottom w:w="0" w:type="dxa"/>
                  <w:right w:w="15" w:type="dxa"/>
                </w:tcMar>
                <w:vAlign w:val="bottom"/>
              </w:tcPr>
              <w:p w14:paraId="047FC929"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3554E83C"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55E246F"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57A8799C" w14:textId="77777777" w:rsidR="002606E8" w:rsidRDefault="002606E8">
                <w:pPr>
                  <w:jc w:val="right"/>
                  <w:rPr>
                    <w:rFonts w:ascii="Calibri"/>
                    <w:color w:val="000000"/>
                    <w:sz w:val="20"/>
                  </w:rPr>
                </w:pPr>
                <w:r>
                  <w:rPr>
                    <w:rFonts w:ascii="Calibri"/>
                    <w:color w:val="000000"/>
                    <w:sz w:val="20"/>
                  </w:rPr>
                  <w:t>8,347,480</w:t>
                </w:r>
              </w:p>
            </w:tc>
            <w:tc>
              <w:tcPr>
                <w:tcW w:w="50" w:type="pct"/>
                <w:shd w:val="clear" w:color="auto" w:fill="FFFFFF"/>
                <w:noWrap/>
                <w:tcMar>
                  <w:top w:w="15" w:type="dxa"/>
                  <w:left w:w="0" w:type="dxa"/>
                  <w:bottom w:w="0" w:type="dxa"/>
                  <w:right w:w="15" w:type="dxa"/>
                </w:tcMar>
                <w:vAlign w:val="bottom"/>
              </w:tcPr>
              <w:p w14:paraId="754E33DB" w14:textId="77777777" w:rsidR="002606E8" w:rsidRDefault="002606E8">
                <w:pPr>
                  <w:rPr>
                    <w:rFonts w:ascii="Calibri"/>
                    <w:color w:val="000000"/>
                    <w:sz w:val="20"/>
                  </w:rPr>
                </w:pPr>
                <w:r>
                  <w:rPr>
                    <w:rFonts w:ascii="Calibri"/>
                    <w:color w:val="000000"/>
                    <w:sz w:val="20"/>
                  </w:rPr>
                  <w:t xml:space="preserve"> </w:t>
                </w:r>
              </w:p>
            </w:tc>
          </w:tr>
          <w:tr w:rsidR="002606E8" w14:paraId="016F1216" w14:textId="77777777">
            <w:trPr>
              <w:cantSplit/>
              <w:jc w:val="center"/>
            </w:trPr>
            <w:tc>
              <w:tcPr>
                <w:tcW w:w="2517" w:type="pct"/>
                <w:shd w:val="clear" w:color="auto" w:fill="CFF0FC"/>
                <w:tcMar>
                  <w:top w:w="15" w:type="dxa"/>
                  <w:left w:w="0" w:type="dxa"/>
                  <w:bottom w:w="0" w:type="dxa"/>
                  <w:right w:w="15" w:type="dxa"/>
                </w:tcMar>
              </w:tcPr>
              <w:p w14:paraId="26FC8F64" w14:textId="77777777" w:rsidR="002606E8" w:rsidRDefault="002606E8" w:rsidP="002606E8">
                <w:pPr>
                  <w:keepNext/>
                  <w:rPr>
                    <w:rFonts w:ascii="Calibri"/>
                    <w:color w:val="000000"/>
                    <w:sz w:val="20"/>
                  </w:rPr>
                </w:pPr>
                <w:r>
                  <w:rPr>
                    <w:rFonts w:ascii="Calibri"/>
                    <w:color w:val="000000"/>
                    <w:sz w:val="20"/>
                  </w:rPr>
                  <w:t>Provision for loan losses</w:t>
                </w:r>
              </w:p>
            </w:tc>
            <w:tc>
              <w:tcPr>
                <w:tcW w:w="61" w:type="pct"/>
                <w:shd w:val="clear" w:color="auto" w:fill="CFF0FC"/>
                <w:tcMar>
                  <w:top w:w="15" w:type="dxa"/>
                  <w:left w:w="0" w:type="dxa"/>
                  <w:bottom w:w="0" w:type="dxa"/>
                  <w:right w:w="15" w:type="dxa"/>
                </w:tcMar>
                <w:vAlign w:val="bottom"/>
              </w:tcPr>
              <w:p w14:paraId="4215ACEB"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497990C"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56D74DDB" w14:textId="77777777" w:rsidR="002606E8" w:rsidRDefault="002606E8">
                <w:pPr>
                  <w:jc w:val="right"/>
                  <w:rPr>
                    <w:rFonts w:ascii="Calibri"/>
                    <w:color w:val="000000"/>
                    <w:sz w:val="20"/>
                  </w:rPr>
                </w:pPr>
                <w:r>
                  <w:rPr>
                    <w:rFonts w:ascii="Calibri"/>
                    <w:color w:val="000000"/>
                    <w:sz w:val="20"/>
                  </w:rPr>
                  <w:t>25,000</w:t>
                </w:r>
              </w:p>
            </w:tc>
            <w:tc>
              <w:tcPr>
                <w:tcW w:w="50" w:type="pct"/>
                <w:shd w:val="clear" w:color="auto" w:fill="CFF0FC"/>
                <w:noWrap/>
                <w:tcMar>
                  <w:top w:w="15" w:type="dxa"/>
                  <w:left w:w="0" w:type="dxa"/>
                  <w:bottom w:w="0" w:type="dxa"/>
                  <w:right w:w="15" w:type="dxa"/>
                </w:tcMar>
                <w:vAlign w:val="bottom"/>
              </w:tcPr>
              <w:p w14:paraId="1CD2A500"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810ADB1"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2E43E17"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592EA337" w14:textId="77777777" w:rsidR="002606E8" w:rsidRDefault="002606E8" w:rsidP="002606E8">
                <w:pPr>
                  <w:jc w:val="right"/>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6D384AEC"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239F26B0"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B9BF798"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19764AE7" w14:textId="77777777" w:rsidR="002606E8" w:rsidRDefault="002606E8">
                <w:pPr>
                  <w:jc w:val="right"/>
                  <w:rPr>
                    <w:rFonts w:ascii="Calibri"/>
                    <w:color w:val="000000"/>
                    <w:sz w:val="20"/>
                  </w:rPr>
                </w:pPr>
                <w:r>
                  <w:rPr>
                    <w:rFonts w:ascii="Calibri"/>
                    <w:color w:val="000000"/>
                    <w:sz w:val="20"/>
                  </w:rPr>
                  <w:t>275,000</w:t>
                </w:r>
              </w:p>
            </w:tc>
            <w:tc>
              <w:tcPr>
                <w:tcW w:w="50" w:type="pct"/>
                <w:shd w:val="clear" w:color="auto" w:fill="CFF0FC"/>
                <w:noWrap/>
                <w:tcMar>
                  <w:top w:w="15" w:type="dxa"/>
                  <w:left w:w="0" w:type="dxa"/>
                  <w:bottom w:w="0" w:type="dxa"/>
                  <w:right w:w="15" w:type="dxa"/>
                </w:tcMar>
                <w:vAlign w:val="bottom"/>
              </w:tcPr>
              <w:p w14:paraId="6A243ABC"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AEE2EB1"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E820175"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0C7ED873" w14:textId="77777777" w:rsidR="002606E8" w:rsidRDefault="002606E8" w:rsidP="002606E8">
                <w:pPr>
                  <w:jc w:val="right"/>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79425977" w14:textId="77777777" w:rsidR="002606E8" w:rsidRDefault="002606E8" w:rsidP="002606E8">
                <w:pPr>
                  <w:rPr>
                    <w:rFonts w:ascii="Calibri"/>
                    <w:color w:val="000000"/>
                    <w:sz w:val="20"/>
                  </w:rPr>
                </w:pPr>
                <w:r>
                  <w:rPr>
                    <w:rFonts w:ascii="Calibri"/>
                    <w:color w:val="000000"/>
                    <w:sz w:val="20"/>
                  </w:rPr>
                  <w:t xml:space="preserve"> </w:t>
                </w:r>
              </w:p>
            </w:tc>
          </w:tr>
          <w:tr w:rsidR="002606E8" w14:paraId="5382CE5C" w14:textId="77777777">
            <w:trPr>
              <w:cantSplit/>
              <w:jc w:val="center"/>
            </w:trPr>
            <w:tc>
              <w:tcPr>
                <w:tcW w:w="2517" w:type="pct"/>
                <w:shd w:val="clear" w:color="auto" w:fill="FFFFFF"/>
                <w:tcMar>
                  <w:top w:w="15" w:type="dxa"/>
                  <w:left w:w="0" w:type="dxa"/>
                  <w:bottom w:w="0" w:type="dxa"/>
                  <w:right w:w="15" w:type="dxa"/>
                </w:tcMar>
              </w:tcPr>
              <w:p w14:paraId="1D15802E" w14:textId="77777777" w:rsidR="002606E8" w:rsidRDefault="002606E8" w:rsidP="002606E8">
                <w:pPr>
                  <w:keepNext/>
                  <w:ind w:left="274"/>
                  <w:rPr>
                    <w:rFonts w:ascii="Calibri"/>
                    <w:color w:val="000000"/>
                    <w:sz w:val="20"/>
                  </w:rPr>
                </w:pPr>
                <w:r>
                  <w:rPr>
                    <w:rFonts w:ascii="Calibri"/>
                    <w:color w:val="000000"/>
                    <w:sz w:val="20"/>
                  </w:rPr>
                  <w:t>Net interest income after provision for loan losses</w:t>
                </w:r>
              </w:p>
            </w:tc>
            <w:tc>
              <w:tcPr>
                <w:tcW w:w="61" w:type="pct"/>
                <w:shd w:val="clear" w:color="auto" w:fill="FFFFFF"/>
                <w:tcMar>
                  <w:top w:w="15" w:type="dxa"/>
                  <w:left w:w="0" w:type="dxa"/>
                  <w:bottom w:w="0" w:type="dxa"/>
                  <w:right w:w="15" w:type="dxa"/>
                </w:tcMar>
                <w:vAlign w:val="bottom"/>
              </w:tcPr>
              <w:p w14:paraId="5CE3224D"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0A7D528"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1A90DFD" w14:textId="77777777" w:rsidR="002606E8" w:rsidRDefault="002606E8">
                <w:pPr>
                  <w:jc w:val="right"/>
                  <w:rPr>
                    <w:rFonts w:ascii="Calibri"/>
                    <w:color w:val="000000"/>
                    <w:sz w:val="20"/>
                  </w:rPr>
                </w:pPr>
                <w:r>
                  <w:rPr>
                    <w:rFonts w:ascii="Calibri"/>
                    <w:color w:val="000000"/>
                    <w:sz w:val="20"/>
                  </w:rPr>
                  <w:t>3,569,152</w:t>
                </w:r>
              </w:p>
            </w:tc>
            <w:tc>
              <w:tcPr>
                <w:tcW w:w="50" w:type="pct"/>
                <w:shd w:val="clear" w:color="auto" w:fill="FFFFFF"/>
                <w:noWrap/>
                <w:tcMar>
                  <w:top w:w="15" w:type="dxa"/>
                  <w:left w:w="0" w:type="dxa"/>
                  <w:bottom w:w="0" w:type="dxa"/>
                  <w:right w:w="15" w:type="dxa"/>
                </w:tcMar>
                <w:vAlign w:val="bottom"/>
              </w:tcPr>
              <w:p w14:paraId="1D8A6E11"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62AD3CC5"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B012D0E"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72A439B" w14:textId="77777777" w:rsidR="002606E8" w:rsidRDefault="002606E8">
                <w:pPr>
                  <w:jc w:val="right"/>
                  <w:rPr>
                    <w:rFonts w:ascii="Calibri"/>
                    <w:color w:val="000000"/>
                    <w:sz w:val="20"/>
                  </w:rPr>
                </w:pPr>
                <w:r>
                  <w:rPr>
                    <w:rFonts w:ascii="Calibri"/>
                    <w:color w:val="000000"/>
                    <w:sz w:val="20"/>
                  </w:rPr>
                  <w:t>2,750,777</w:t>
                </w:r>
              </w:p>
            </w:tc>
            <w:tc>
              <w:tcPr>
                <w:tcW w:w="50" w:type="pct"/>
                <w:shd w:val="clear" w:color="auto" w:fill="FFFFFF"/>
                <w:noWrap/>
                <w:tcMar>
                  <w:top w:w="15" w:type="dxa"/>
                  <w:left w:w="0" w:type="dxa"/>
                  <w:bottom w:w="0" w:type="dxa"/>
                  <w:right w:w="15" w:type="dxa"/>
                </w:tcMar>
                <w:vAlign w:val="bottom"/>
              </w:tcPr>
              <w:p w14:paraId="5B708320"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06633919"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79218B9"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ACB443B" w14:textId="77777777" w:rsidR="002606E8" w:rsidRDefault="002606E8">
                <w:pPr>
                  <w:jc w:val="right"/>
                  <w:rPr>
                    <w:rFonts w:ascii="Calibri"/>
                    <w:color w:val="000000"/>
                    <w:sz w:val="20"/>
                  </w:rPr>
                </w:pPr>
                <w:r>
                  <w:rPr>
                    <w:rFonts w:ascii="Calibri"/>
                    <w:color w:val="000000"/>
                    <w:sz w:val="20"/>
                  </w:rPr>
                  <w:t>9,688,932</w:t>
                </w:r>
              </w:p>
            </w:tc>
            <w:tc>
              <w:tcPr>
                <w:tcW w:w="50" w:type="pct"/>
                <w:shd w:val="clear" w:color="auto" w:fill="FFFFFF"/>
                <w:noWrap/>
                <w:tcMar>
                  <w:top w:w="15" w:type="dxa"/>
                  <w:left w:w="0" w:type="dxa"/>
                  <w:bottom w:w="0" w:type="dxa"/>
                  <w:right w:w="15" w:type="dxa"/>
                </w:tcMar>
                <w:vAlign w:val="bottom"/>
              </w:tcPr>
              <w:p w14:paraId="530548CD"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0CC6B140"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D8A9062"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7D1D8EB" w14:textId="77777777" w:rsidR="002606E8" w:rsidRDefault="002606E8">
                <w:pPr>
                  <w:jc w:val="right"/>
                  <w:rPr>
                    <w:rFonts w:ascii="Calibri"/>
                    <w:color w:val="000000"/>
                    <w:sz w:val="20"/>
                  </w:rPr>
                </w:pPr>
                <w:r>
                  <w:rPr>
                    <w:rFonts w:ascii="Calibri"/>
                    <w:color w:val="000000"/>
                    <w:sz w:val="20"/>
                  </w:rPr>
                  <w:t>8,347,480</w:t>
                </w:r>
              </w:p>
            </w:tc>
            <w:tc>
              <w:tcPr>
                <w:tcW w:w="50" w:type="pct"/>
                <w:shd w:val="clear" w:color="auto" w:fill="FFFFFF"/>
                <w:noWrap/>
                <w:tcMar>
                  <w:top w:w="15" w:type="dxa"/>
                  <w:left w:w="0" w:type="dxa"/>
                  <w:bottom w:w="0" w:type="dxa"/>
                  <w:right w:w="15" w:type="dxa"/>
                </w:tcMar>
                <w:vAlign w:val="bottom"/>
              </w:tcPr>
              <w:p w14:paraId="187B76A1" w14:textId="77777777" w:rsidR="002606E8" w:rsidRDefault="002606E8">
                <w:pPr>
                  <w:rPr>
                    <w:rFonts w:ascii="Calibri"/>
                    <w:color w:val="000000"/>
                    <w:sz w:val="20"/>
                  </w:rPr>
                </w:pPr>
                <w:r>
                  <w:rPr>
                    <w:rFonts w:ascii="Calibri"/>
                    <w:color w:val="000000"/>
                    <w:sz w:val="20"/>
                  </w:rPr>
                  <w:t xml:space="preserve"> </w:t>
                </w:r>
              </w:p>
            </w:tc>
          </w:tr>
          <w:tr w:rsidR="002606E8" w14:paraId="3F2F6EC2" w14:textId="77777777">
            <w:trPr>
              <w:cantSplit/>
              <w:jc w:val="center"/>
            </w:trPr>
            <w:tc>
              <w:tcPr>
                <w:tcW w:w="2517" w:type="pct"/>
                <w:shd w:val="clear" w:color="auto" w:fill="CFF0FC"/>
                <w:tcMar>
                  <w:top w:w="15" w:type="dxa"/>
                  <w:left w:w="0" w:type="dxa"/>
                  <w:bottom w:w="0" w:type="dxa"/>
                  <w:right w:w="15" w:type="dxa"/>
                </w:tcMar>
              </w:tcPr>
              <w:p w14:paraId="5C339163" w14:textId="77777777" w:rsidR="002606E8" w:rsidRDefault="002606E8" w:rsidP="002606E8">
                <w:pPr>
                  <w:keepNext/>
                  <w:rPr>
                    <w:rFonts w:ascii="Calibri"/>
                    <w:color w:val="000000"/>
                    <w:sz w:val="20"/>
                  </w:rPr>
                </w:pPr>
                <w:r>
                  <w:rPr>
                    <w:rFonts w:ascii="Calibri"/>
                    <w:color w:val="000000"/>
                    <w:sz w:val="20"/>
                  </w:rPr>
                  <w:t>Non-interest income</w:t>
                </w:r>
              </w:p>
            </w:tc>
            <w:tc>
              <w:tcPr>
                <w:tcW w:w="61" w:type="pct"/>
                <w:shd w:val="clear" w:color="auto" w:fill="CFF0FC"/>
                <w:tcMar>
                  <w:top w:w="15" w:type="dxa"/>
                  <w:left w:w="0" w:type="dxa"/>
                  <w:bottom w:w="0" w:type="dxa"/>
                  <w:right w:w="15" w:type="dxa"/>
                </w:tcMar>
                <w:vAlign w:val="bottom"/>
              </w:tcPr>
              <w:p w14:paraId="415D675E"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7536A46"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1620D334"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4532838"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53A93E9"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3490186"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12CC4E25"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2DE9A76"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70D88378"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D38944C"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3E9DEB45"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B5790BB"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79582787"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5F15ED4"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57CFBD5C"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7A06429" w14:textId="77777777" w:rsidR="002606E8" w:rsidRDefault="002606E8" w:rsidP="002606E8">
                <w:pPr>
                  <w:rPr>
                    <w:rFonts w:ascii="Calibri"/>
                    <w:color w:val="000000"/>
                    <w:sz w:val="20"/>
                  </w:rPr>
                </w:pPr>
                <w:r>
                  <w:rPr>
                    <w:rFonts w:ascii="Calibri"/>
                    <w:color w:val="000000"/>
                    <w:sz w:val="20"/>
                  </w:rPr>
                  <w:t xml:space="preserve"> </w:t>
                </w:r>
              </w:p>
            </w:tc>
          </w:tr>
          <w:tr w:rsidR="002606E8" w14:paraId="0E6B371E" w14:textId="77777777">
            <w:trPr>
              <w:cantSplit/>
              <w:jc w:val="center"/>
            </w:trPr>
            <w:tc>
              <w:tcPr>
                <w:tcW w:w="2517" w:type="pct"/>
                <w:shd w:val="clear" w:color="auto" w:fill="FFFFFF"/>
                <w:tcMar>
                  <w:top w:w="15" w:type="dxa"/>
                  <w:left w:w="0" w:type="dxa"/>
                  <w:bottom w:w="0" w:type="dxa"/>
                  <w:right w:w="15" w:type="dxa"/>
                </w:tcMar>
              </w:tcPr>
              <w:p w14:paraId="19B8D79A" w14:textId="77777777" w:rsidR="002606E8" w:rsidRDefault="002606E8" w:rsidP="002606E8">
                <w:pPr>
                  <w:keepNext/>
                  <w:ind w:left="274"/>
                  <w:rPr>
                    <w:rFonts w:ascii="Calibri"/>
                    <w:color w:val="000000"/>
                    <w:sz w:val="20"/>
                  </w:rPr>
                </w:pPr>
                <w:r>
                  <w:rPr>
                    <w:rFonts w:ascii="Calibri"/>
                    <w:color w:val="000000"/>
                    <w:sz w:val="20"/>
                  </w:rPr>
                  <w:t>Fees and service charges</w:t>
                </w:r>
              </w:p>
            </w:tc>
            <w:tc>
              <w:tcPr>
                <w:tcW w:w="61" w:type="pct"/>
                <w:shd w:val="clear" w:color="auto" w:fill="FFFFFF"/>
                <w:tcMar>
                  <w:top w:w="15" w:type="dxa"/>
                  <w:left w:w="0" w:type="dxa"/>
                  <w:bottom w:w="0" w:type="dxa"/>
                  <w:right w:w="15" w:type="dxa"/>
                </w:tcMar>
                <w:vAlign w:val="bottom"/>
              </w:tcPr>
              <w:p w14:paraId="63340197"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5D2DE51B"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44BB2230" w14:textId="77777777" w:rsidR="002606E8" w:rsidRDefault="002606E8">
                <w:pPr>
                  <w:jc w:val="right"/>
                  <w:rPr>
                    <w:rFonts w:ascii="Calibri"/>
                    <w:color w:val="000000"/>
                    <w:sz w:val="20"/>
                  </w:rPr>
                </w:pPr>
                <w:r>
                  <w:rPr>
                    <w:rFonts w:ascii="Calibri"/>
                    <w:color w:val="000000"/>
                    <w:sz w:val="20"/>
                  </w:rPr>
                  <w:t>13,407</w:t>
                </w:r>
              </w:p>
            </w:tc>
            <w:tc>
              <w:tcPr>
                <w:tcW w:w="50" w:type="pct"/>
                <w:shd w:val="clear" w:color="auto" w:fill="FFFFFF"/>
                <w:noWrap/>
                <w:tcMar>
                  <w:top w:w="15" w:type="dxa"/>
                  <w:left w:w="0" w:type="dxa"/>
                  <w:bottom w:w="0" w:type="dxa"/>
                  <w:right w:w="15" w:type="dxa"/>
                </w:tcMar>
                <w:vAlign w:val="bottom"/>
              </w:tcPr>
              <w:p w14:paraId="5A1B5C0F"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66A7965F"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6409C11"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37B0250C" w14:textId="77777777" w:rsidR="002606E8" w:rsidRDefault="002606E8">
                <w:pPr>
                  <w:jc w:val="right"/>
                  <w:rPr>
                    <w:rFonts w:ascii="Calibri"/>
                    <w:color w:val="000000"/>
                    <w:sz w:val="20"/>
                  </w:rPr>
                </w:pPr>
                <w:r>
                  <w:rPr>
                    <w:rFonts w:ascii="Calibri"/>
                    <w:color w:val="000000"/>
                    <w:sz w:val="20"/>
                  </w:rPr>
                  <w:t>25,447</w:t>
                </w:r>
              </w:p>
            </w:tc>
            <w:tc>
              <w:tcPr>
                <w:tcW w:w="50" w:type="pct"/>
                <w:shd w:val="clear" w:color="auto" w:fill="FFFFFF"/>
                <w:noWrap/>
                <w:tcMar>
                  <w:top w:w="15" w:type="dxa"/>
                  <w:left w:w="0" w:type="dxa"/>
                  <w:bottom w:w="0" w:type="dxa"/>
                  <w:right w:w="15" w:type="dxa"/>
                </w:tcMar>
                <w:vAlign w:val="bottom"/>
              </w:tcPr>
              <w:p w14:paraId="7B8A1446"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7B38B63D"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9B44941"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246B2FA3" w14:textId="77777777" w:rsidR="002606E8" w:rsidRDefault="002606E8">
                <w:pPr>
                  <w:jc w:val="right"/>
                  <w:rPr>
                    <w:rFonts w:ascii="Calibri"/>
                    <w:color w:val="000000"/>
                    <w:sz w:val="20"/>
                  </w:rPr>
                </w:pPr>
                <w:r>
                  <w:rPr>
                    <w:rFonts w:ascii="Calibri"/>
                    <w:color w:val="000000"/>
                    <w:sz w:val="20"/>
                  </w:rPr>
                  <w:t>45,451</w:t>
                </w:r>
              </w:p>
            </w:tc>
            <w:tc>
              <w:tcPr>
                <w:tcW w:w="50" w:type="pct"/>
                <w:shd w:val="clear" w:color="auto" w:fill="FFFFFF"/>
                <w:noWrap/>
                <w:tcMar>
                  <w:top w:w="15" w:type="dxa"/>
                  <w:left w:w="0" w:type="dxa"/>
                  <w:bottom w:w="0" w:type="dxa"/>
                  <w:right w:w="15" w:type="dxa"/>
                </w:tcMar>
                <w:vAlign w:val="bottom"/>
              </w:tcPr>
              <w:p w14:paraId="3F0F3EB5"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46E56BF6"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A6B9DC6"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3D9093DD" w14:textId="77777777" w:rsidR="002606E8" w:rsidRDefault="002606E8">
                <w:pPr>
                  <w:jc w:val="right"/>
                  <w:rPr>
                    <w:rFonts w:ascii="Calibri"/>
                    <w:color w:val="000000"/>
                    <w:sz w:val="20"/>
                  </w:rPr>
                </w:pPr>
                <w:r>
                  <w:rPr>
                    <w:rFonts w:ascii="Calibri"/>
                    <w:color w:val="000000"/>
                    <w:sz w:val="20"/>
                  </w:rPr>
                  <w:t>85,887</w:t>
                </w:r>
              </w:p>
            </w:tc>
            <w:tc>
              <w:tcPr>
                <w:tcW w:w="50" w:type="pct"/>
                <w:shd w:val="clear" w:color="auto" w:fill="FFFFFF"/>
                <w:noWrap/>
                <w:tcMar>
                  <w:top w:w="15" w:type="dxa"/>
                  <w:left w:w="0" w:type="dxa"/>
                  <w:bottom w:w="0" w:type="dxa"/>
                  <w:right w:w="15" w:type="dxa"/>
                </w:tcMar>
                <w:vAlign w:val="bottom"/>
              </w:tcPr>
              <w:p w14:paraId="6E856471" w14:textId="77777777" w:rsidR="002606E8" w:rsidRDefault="002606E8">
                <w:pPr>
                  <w:rPr>
                    <w:rFonts w:ascii="Calibri"/>
                    <w:color w:val="000000"/>
                    <w:sz w:val="20"/>
                  </w:rPr>
                </w:pPr>
                <w:r>
                  <w:rPr>
                    <w:rFonts w:ascii="Calibri"/>
                    <w:color w:val="000000"/>
                    <w:sz w:val="20"/>
                  </w:rPr>
                  <w:t xml:space="preserve"> </w:t>
                </w:r>
              </w:p>
            </w:tc>
          </w:tr>
          <w:tr w:rsidR="002606E8" w14:paraId="40EFB4EF" w14:textId="77777777">
            <w:trPr>
              <w:cantSplit/>
              <w:jc w:val="center"/>
            </w:trPr>
            <w:tc>
              <w:tcPr>
                <w:tcW w:w="2517" w:type="pct"/>
                <w:shd w:val="clear" w:color="auto" w:fill="CFF0FC"/>
                <w:tcMar>
                  <w:top w:w="15" w:type="dxa"/>
                  <w:left w:w="0" w:type="dxa"/>
                  <w:bottom w:w="0" w:type="dxa"/>
                  <w:right w:w="15" w:type="dxa"/>
                </w:tcMar>
              </w:tcPr>
              <w:p w14:paraId="422E3B50" w14:textId="77777777" w:rsidR="002606E8" w:rsidRDefault="002606E8" w:rsidP="002606E8">
                <w:pPr>
                  <w:keepNext/>
                  <w:ind w:left="274"/>
                  <w:rPr>
                    <w:rFonts w:ascii="Calibri"/>
                    <w:color w:val="000000"/>
                    <w:sz w:val="20"/>
                  </w:rPr>
                </w:pPr>
                <w:r>
                  <w:rPr>
                    <w:rFonts w:ascii="Calibri"/>
                    <w:color w:val="000000"/>
                    <w:sz w:val="20"/>
                  </w:rPr>
                  <w:t>Bank owned life insurance</w:t>
                </w:r>
              </w:p>
            </w:tc>
            <w:tc>
              <w:tcPr>
                <w:tcW w:w="61" w:type="pct"/>
                <w:shd w:val="clear" w:color="auto" w:fill="CFF0FC"/>
                <w:tcMar>
                  <w:top w:w="15" w:type="dxa"/>
                  <w:left w:w="0" w:type="dxa"/>
                  <w:bottom w:w="0" w:type="dxa"/>
                  <w:right w:w="15" w:type="dxa"/>
                </w:tcMar>
                <w:vAlign w:val="bottom"/>
              </w:tcPr>
              <w:p w14:paraId="02A6357F"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D5EFCEA"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00196432" w14:textId="77777777" w:rsidR="002606E8" w:rsidRDefault="002606E8">
                <w:pPr>
                  <w:jc w:val="right"/>
                  <w:rPr>
                    <w:rFonts w:ascii="Calibri"/>
                    <w:color w:val="000000"/>
                    <w:sz w:val="20"/>
                  </w:rPr>
                </w:pPr>
                <w:r>
                  <w:rPr>
                    <w:rFonts w:ascii="Calibri"/>
                    <w:color w:val="000000"/>
                    <w:sz w:val="20"/>
                  </w:rPr>
                  <w:t>90,359</w:t>
                </w:r>
              </w:p>
            </w:tc>
            <w:tc>
              <w:tcPr>
                <w:tcW w:w="50" w:type="pct"/>
                <w:shd w:val="clear" w:color="auto" w:fill="CFF0FC"/>
                <w:noWrap/>
                <w:tcMar>
                  <w:top w:w="15" w:type="dxa"/>
                  <w:left w:w="0" w:type="dxa"/>
                  <w:bottom w:w="0" w:type="dxa"/>
                  <w:right w:w="15" w:type="dxa"/>
                </w:tcMar>
                <w:vAlign w:val="bottom"/>
              </w:tcPr>
              <w:p w14:paraId="69258BB5"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606D8BC6"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5981D6B"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17AD80B1" w14:textId="77777777" w:rsidR="002606E8" w:rsidRDefault="002606E8">
                <w:pPr>
                  <w:jc w:val="right"/>
                  <w:rPr>
                    <w:rFonts w:ascii="Calibri"/>
                    <w:color w:val="000000"/>
                    <w:sz w:val="20"/>
                  </w:rPr>
                </w:pPr>
                <w:r>
                  <w:rPr>
                    <w:rFonts w:ascii="Calibri"/>
                    <w:color w:val="000000"/>
                    <w:sz w:val="20"/>
                  </w:rPr>
                  <w:t>102,880</w:t>
                </w:r>
              </w:p>
            </w:tc>
            <w:tc>
              <w:tcPr>
                <w:tcW w:w="50" w:type="pct"/>
                <w:shd w:val="clear" w:color="auto" w:fill="CFF0FC"/>
                <w:noWrap/>
                <w:tcMar>
                  <w:top w:w="15" w:type="dxa"/>
                  <w:left w:w="0" w:type="dxa"/>
                  <w:bottom w:w="0" w:type="dxa"/>
                  <w:right w:w="15" w:type="dxa"/>
                </w:tcMar>
                <w:vAlign w:val="bottom"/>
              </w:tcPr>
              <w:p w14:paraId="762ED293"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7D514E28"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3303F01"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5CEDE78C" w14:textId="77777777" w:rsidR="002606E8" w:rsidRDefault="002606E8">
                <w:pPr>
                  <w:jc w:val="right"/>
                  <w:rPr>
                    <w:rFonts w:ascii="Calibri"/>
                    <w:color w:val="000000"/>
                    <w:sz w:val="20"/>
                  </w:rPr>
                </w:pPr>
                <w:r>
                  <w:rPr>
                    <w:rFonts w:ascii="Calibri"/>
                    <w:color w:val="000000"/>
                    <w:sz w:val="20"/>
                  </w:rPr>
                  <w:t>939,160</w:t>
                </w:r>
              </w:p>
            </w:tc>
            <w:tc>
              <w:tcPr>
                <w:tcW w:w="50" w:type="pct"/>
                <w:shd w:val="clear" w:color="auto" w:fill="CFF0FC"/>
                <w:noWrap/>
                <w:tcMar>
                  <w:top w:w="15" w:type="dxa"/>
                  <w:left w:w="0" w:type="dxa"/>
                  <w:bottom w:w="0" w:type="dxa"/>
                  <w:right w:w="15" w:type="dxa"/>
                </w:tcMar>
                <w:vAlign w:val="bottom"/>
              </w:tcPr>
              <w:p w14:paraId="2DD8CC10"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7119525C"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3797760"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15E583B5" w14:textId="77777777" w:rsidR="002606E8" w:rsidRDefault="002606E8">
                <w:pPr>
                  <w:jc w:val="right"/>
                  <w:rPr>
                    <w:rFonts w:ascii="Calibri"/>
                    <w:color w:val="000000"/>
                    <w:sz w:val="20"/>
                  </w:rPr>
                </w:pPr>
                <w:r>
                  <w:rPr>
                    <w:rFonts w:ascii="Calibri"/>
                    <w:color w:val="000000"/>
                    <w:sz w:val="20"/>
                  </w:rPr>
                  <w:t>305,142</w:t>
                </w:r>
              </w:p>
            </w:tc>
            <w:tc>
              <w:tcPr>
                <w:tcW w:w="50" w:type="pct"/>
                <w:shd w:val="clear" w:color="auto" w:fill="CFF0FC"/>
                <w:noWrap/>
                <w:tcMar>
                  <w:top w:w="15" w:type="dxa"/>
                  <w:left w:w="0" w:type="dxa"/>
                  <w:bottom w:w="0" w:type="dxa"/>
                  <w:right w:w="15" w:type="dxa"/>
                </w:tcMar>
                <w:vAlign w:val="bottom"/>
              </w:tcPr>
              <w:p w14:paraId="20FA648A" w14:textId="77777777" w:rsidR="002606E8" w:rsidRDefault="002606E8">
                <w:pPr>
                  <w:rPr>
                    <w:rFonts w:ascii="Calibri"/>
                    <w:color w:val="000000"/>
                    <w:sz w:val="20"/>
                  </w:rPr>
                </w:pPr>
                <w:r>
                  <w:rPr>
                    <w:rFonts w:ascii="Calibri"/>
                    <w:color w:val="000000"/>
                    <w:sz w:val="20"/>
                  </w:rPr>
                  <w:t xml:space="preserve"> </w:t>
                </w:r>
              </w:p>
            </w:tc>
          </w:tr>
          <w:tr w:rsidR="002606E8" w14:paraId="0E7735A8" w14:textId="77777777">
            <w:trPr>
              <w:cantSplit/>
              <w:jc w:val="center"/>
            </w:trPr>
            <w:tc>
              <w:tcPr>
                <w:tcW w:w="2517" w:type="pct"/>
                <w:shd w:val="clear" w:color="auto" w:fill="FFFFFF"/>
                <w:tcMar>
                  <w:top w:w="15" w:type="dxa"/>
                  <w:left w:w="0" w:type="dxa"/>
                  <w:bottom w:w="0" w:type="dxa"/>
                  <w:right w:w="15" w:type="dxa"/>
                </w:tcMar>
              </w:tcPr>
              <w:p w14:paraId="46FD1482" w14:textId="77777777" w:rsidR="002606E8" w:rsidRDefault="002606E8" w:rsidP="002606E8">
                <w:pPr>
                  <w:keepNext/>
                  <w:ind w:left="274"/>
                  <w:rPr>
                    <w:rFonts w:ascii="Calibri"/>
                    <w:color w:val="000000"/>
                    <w:sz w:val="20"/>
                  </w:rPr>
                </w:pPr>
                <w:r>
                  <w:rPr>
                    <w:rFonts w:ascii="Calibri"/>
                    <w:color w:val="000000"/>
                    <w:sz w:val="20"/>
                  </w:rPr>
                  <w:t>Other</w:t>
                </w:r>
              </w:p>
            </w:tc>
            <w:tc>
              <w:tcPr>
                <w:tcW w:w="61" w:type="pct"/>
                <w:shd w:val="clear" w:color="auto" w:fill="FFFFFF"/>
                <w:tcMar>
                  <w:top w:w="15" w:type="dxa"/>
                  <w:left w:w="0" w:type="dxa"/>
                  <w:bottom w:w="0" w:type="dxa"/>
                  <w:right w:w="15" w:type="dxa"/>
                </w:tcMar>
                <w:vAlign w:val="bottom"/>
              </w:tcPr>
              <w:p w14:paraId="76089757"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2A2D5D3"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7BF1C4CF" w14:textId="77777777" w:rsidR="002606E8" w:rsidRDefault="002606E8">
                <w:pPr>
                  <w:jc w:val="right"/>
                  <w:rPr>
                    <w:rFonts w:ascii="Calibri"/>
                    <w:color w:val="000000"/>
                    <w:sz w:val="20"/>
                  </w:rPr>
                </w:pPr>
                <w:r>
                  <w:rPr>
                    <w:rFonts w:ascii="Calibri"/>
                    <w:color w:val="000000"/>
                    <w:sz w:val="20"/>
                  </w:rPr>
                  <w:t>4,287</w:t>
                </w:r>
              </w:p>
            </w:tc>
            <w:tc>
              <w:tcPr>
                <w:tcW w:w="50" w:type="pct"/>
                <w:shd w:val="clear" w:color="auto" w:fill="FFFFFF"/>
                <w:noWrap/>
                <w:tcMar>
                  <w:top w:w="15" w:type="dxa"/>
                  <w:left w:w="0" w:type="dxa"/>
                  <w:bottom w:w="0" w:type="dxa"/>
                  <w:right w:w="15" w:type="dxa"/>
                </w:tcMar>
                <w:vAlign w:val="bottom"/>
              </w:tcPr>
              <w:p w14:paraId="05182C25"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0B622D22"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06A32D7"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152D3282" w14:textId="77777777" w:rsidR="002606E8" w:rsidRDefault="002606E8">
                <w:pPr>
                  <w:jc w:val="right"/>
                  <w:rPr>
                    <w:rFonts w:ascii="Calibri"/>
                    <w:color w:val="000000"/>
                    <w:sz w:val="20"/>
                  </w:rPr>
                </w:pPr>
                <w:r>
                  <w:rPr>
                    <w:rFonts w:ascii="Calibri"/>
                    <w:color w:val="000000"/>
                    <w:sz w:val="20"/>
                  </w:rPr>
                  <w:t>3,885</w:t>
                </w:r>
              </w:p>
            </w:tc>
            <w:tc>
              <w:tcPr>
                <w:tcW w:w="50" w:type="pct"/>
                <w:shd w:val="clear" w:color="auto" w:fill="FFFFFF"/>
                <w:noWrap/>
                <w:tcMar>
                  <w:top w:w="15" w:type="dxa"/>
                  <w:left w:w="0" w:type="dxa"/>
                  <w:bottom w:w="0" w:type="dxa"/>
                  <w:right w:w="15" w:type="dxa"/>
                </w:tcMar>
                <w:vAlign w:val="bottom"/>
              </w:tcPr>
              <w:p w14:paraId="01F754E3"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088029A9"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7CAFDC8"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0176B3C6" w14:textId="77777777" w:rsidR="002606E8" w:rsidRDefault="002606E8">
                <w:pPr>
                  <w:jc w:val="right"/>
                  <w:rPr>
                    <w:rFonts w:ascii="Calibri"/>
                    <w:color w:val="000000"/>
                    <w:sz w:val="20"/>
                  </w:rPr>
                </w:pPr>
                <w:r>
                  <w:rPr>
                    <w:rFonts w:ascii="Calibri"/>
                    <w:color w:val="000000"/>
                    <w:sz w:val="20"/>
                  </w:rPr>
                  <w:t>12,470</w:t>
                </w:r>
              </w:p>
            </w:tc>
            <w:tc>
              <w:tcPr>
                <w:tcW w:w="50" w:type="pct"/>
                <w:shd w:val="clear" w:color="auto" w:fill="FFFFFF"/>
                <w:noWrap/>
                <w:tcMar>
                  <w:top w:w="15" w:type="dxa"/>
                  <w:left w:w="0" w:type="dxa"/>
                  <w:bottom w:w="0" w:type="dxa"/>
                  <w:right w:w="15" w:type="dxa"/>
                </w:tcMar>
                <w:vAlign w:val="bottom"/>
              </w:tcPr>
              <w:p w14:paraId="41DB5A1E"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171D0AAB"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02EF1ED"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3403E698" w14:textId="77777777" w:rsidR="002606E8" w:rsidRDefault="002606E8">
                <w:pPr>
                  <w:jc w:val="right"/>
                  <w:rPr>
                    <w:rFonts w:ascii="Calibri"/>
                    <w:color w:val="000000"/>
                    <w:sz w:val="20"/>
                  </w:rPr>
                </w:pPr>
                <w:r>
                  <w:rPr>
                    <w:rFonts w:ascii="Calibri"/>
                    <w:color w:val="000000"/>
                    <w:sz w:val="20"/>
                  </w:rPr>
                  <w:t>20,860</w:t>
                </w:r>
              </w:p>
            </w:tc>
            <w:tc>
              <w:tcPr>
                <w:tcW w:w="50" w:type="pct"/>
                <w:shd w:val="clear" w:color="auto" w:fill="FFFFFF"/>
                <w:noWrap/>
                <w:tcMar>
                  <w:top w:w="15" w:type="dxa"/>
                  <w:left w:w="0" w:type="dxa"/>
                  <w:bottom w:w="0" w:type="dxa"/>
                  <w:right w:w="15" w:type="dxa"/>
                </w:tcMar>
                <w:vAlign w:val="bottom"/>
              </w:tcPr>
              <w:p w14:paraId="14B2125D" w14:textId="77777777" w:rsidR="002606E8" w:rsidRDefault="002606E8">
                <w:pPr>
                  <w:rPr>
                    <w:rFonts w:ascii="Calibri"/>
                    <w:color w:val="000000"/>
                    <w:sz w:val="20"/>
                  </w:rPr>
                </w:pPr>
                <w:r>
                  <w:rPr>
                    <w:rFonts w:ascii="Calibri"/>
                    <w:color w:val="000000"/>
                    <w:sz w:val="20"/>
                  </w:rPr>
                  <w:t xml:space="preserve"> </w:t>
                </w:r>
              </w:p>
            </w:tc>
          </w:tr>
          <w:tr w:rsidR="002606E8" w14:paraId="1A7E2B05" w14:textId="77777777">
            <w:trPr>
              <w:cantSplit/>
              <w:jc w:val="center"/>
            </w:trPr>
            <w:tc>
              <w:tcPr>
                <w:tcW w:w="2517" w:type="pct"/>
                <w:shd w:val="clear" w:color="auto" w:fill="CFF0FC"/>
                <w:tcMar>
                  <w:top w:w="15" w:type="dxa"/>
                  <w:left w:w="0" w:type="dxa"/>
                  <w:bottom w:w="0" w:type="dxa"/>
                  <w:right w:w="15" w:type="dxa"/>
                </w:tcMar>
              </w:tcPr>
              <w:p w14:paraId="0E522688" w14:textId="77777777" w:rsidR="002606E8" w:rsidRDefault="002606E8" w:rsidP="002606E8">
                <w:pPr>
                  <w:keepNext/>
                  <w:ind w:left="821"/>
                  <w:rPr>
                    <w:rFonts w:ascii="Calibri"/>
                    <w:color w:val="000000"/>
                    <w:sz w:val="20"/>
                  </w:rPr>
                </w:pPr>
                <w:r>
                  <w:rPr>
                    <w:rFonts w:ascii="Calibri"/>
                    <w:color w:val="000000"/>
                    <w:sz w:val="20"/>
                  </w:rPr>
                  <w:t>Total non-interest income</w:t>
                </w:r>
              </w:p>
            </w:tc>
            <w:tc>
              <w:tcPr>
                <w:tcW w:w="61" w:type="pct"/>
                <w:shd w:val="clear" w:color="auto" w:fill="CFF0FC"/>
                <w:tcMar>
                  <w:top w:w="15" w:type="dxa"/>
                  <w:left w:w="0" w:type="dxa"/>
                  <w:bottom w:w="0" w:type="dxa"/>
                  <w:right w:w="15" w:type="dxa"/>
                </w:tcMar>
                <w:vAlign w:val="bottom"/>
              </w:tcPr>
              <w:p w14:paraId="009CE13D"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D798C9F"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B1470B9" w14:textId="77777777" w:rsidR="002606E8" w:rsidRDefault="002606E8">
                <w:pPr>
                  <w:jc w:val="right"/>
                  <w:rPr>
                    <w:rFonts w:ascii="Calibri"/>
                    <w:color w:val="000000"/>
                    <w:sz w:val="20"/>
                  </w:rPr>
                </w:pPr>
                <w:r>
                  <w:rPr>
                    <w:rFonts w:ascii="Calibri"/>
                    <w:color w:val="000000"/>
                    <w:sz w:val="20"/>
                  </w:rPr>
                  <w:t>108,053</w:t>
                </w:r>
              </w:p>
            </w:tc>
            <w:tc>
              <w:tcPr>
                <w:tcW w:w="50" w:type="pct"/>
                <w:shd w:val="clear" w:color="auto" w:fill="CFF0FC"/>
                <w:noWrap/>
                <w:tcMar>
                  <w:top w:w="15" w:type="dxa"/>
                  <w:left w:w="0" w:type="dxa"/>
                  <w:bottom w:w="0" w:type="dxa"/>
                  <w:right w:w="15" w:type="dxa"/>
                </w:tcMar>
                <w:vAlign w:val="bottom"/>
              </w:tcPr>
              <w:p w14:paraId="3A35610E"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2CD93133"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3414693"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A3D2F1A" w14:textId="77777777" w:rsidR="002606E8" w:rsidRDefault="002606E8">
                <w:pPr>
                  <w:jc w:val="right"/>
                  <w:rPr>
                    <w:rFonts w:ascii="Calibri"/>
                    <w:color w:val="000000"/>
                    <w:sz w:val="20"/>
                  </w:rPr>
                </w:pPr>
                <w:r>
                  <w:rPr>
                    <w:rFonts w:ascii="Calibri"/>
                    <w:color w:val="000000"/>
                    <w:sz w:val="20"/>
                  </w:rPr>
                  <w:t>132,212</w:t>
                </w:r>
              </w:p>
            </w:tc>
            <w:tc>
              <w:tcPr>
                <w:tcW w:w="50" w:type="pct"/>
                <w:shd w:val="clear" w:color="auto" w:fill="CFF0FC"/>
                <w:noWrap/>
                <w:tcMar>
                  <w:top w:w="15" w:type="dxa"/>
                  <w:left w:w="0" w:type="dxa"/>
                  <w:bottom w:w="0" w:type="dxa"/>
                  <w:right w:w="15" w:type="dxa"/>
                </w:tcMar>
                <w:vAlign w:val="bottom"/>
              </w:tcPr>
              <w:p w14:paraId="3844A6AD"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CBB1776"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07FD0D2"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27B0903" w14:textId="77777777" w:rsidR="002606E8" w:rsidRDefault="002606E8">
                <w:pPr>
                  <w:jc w:val="right"/>
                  <w:rPr>
                    <w:rFonts w:ascii="Calibri"/>
                    <w:color w:val="000000"/>
                    <w:sz w:val="20"/>
                  </w:rPr>
                </w:pPr>
                <w:r>
                  <w:rPr>
                    <w:rFonts w:ascii="Calibri"/>
                    <w:color w:val="000000"/>
                    <w:sz w:val="20"/>
                  </w:rPr>
                  <w:t>997,081</w:t>
                </w:r>
              </w:p>
            </w:tc>
            <w:tc>
              <w:tcPr>
                <w:tcW w:w="50" w:type="pct"/>
                <w:shd w:val="clear" w:color="auto" w:fill="CFF0FC"/>
                <w:noWrap/>
                <w:tcMar>
                  <w:top w:w="15" w:type="dxa"/>
                  <w:left w:w="0" w:type="dxa"/>
                  <w:bottom w:w="0" w:type="dxa"/>
                  <w:right w:w="15" w:type="dxa"/>
                </w:tcMar>
                <w:vAlign w:val="bottom"/>
              </w:tcPr>
              <w:p w14:paraId="7515BAB0"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DA7E2DA"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CB6BB36"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938BD50" w14:textId="77777777" w:rsidR="002606E8" w:rsidRDefault="002606E8">
                <w:pPr>
                  <w:jc w:val="right"/>
                  <w:rPr>
                    <w:rFonts w:ascii="Calibri"/>
                    <w:color w:val="000000"/>
                    <w:sz w:val="20"/>
                  </w:rPr>
                </w:pPr>
                <w:r>
                  <w:rPr>
                    <w:rFonts w:ascii="Calibri"/>
                    <w:color w:val="000000"/>
                    <w:sz w:val="20"/>
                  </w:rPr>
                  <w:t>411,889</w:t>
                </w:r>
              </w:p>
            </w:tc>
            <w:tc>
              <w:tcPr>
                <w:tcW w:w="50" w:type="pct"/>
                <w:shd w:val="clear" w:color="auto" w:fill="CFF0FC"/>
                <w:noWrap/>
                <w:tcMar>
                  <w:top w:w="15" w:type="dxa"/>
                  <w:left w:w="0" w:type="dxa"/>
                  <w:bottom w:w="0" w:type="dxa"/>
                  <w:right w:w="15" w:type="dxa"/>
                </w:tcMar>
                <w:vAlign w:val="bottom"/>
              </w:tcPr>
              <w:p w14:paraId="70C396D4" w14:textId="77777777" w:rsidR="002606E8" w:rsidRDefault="002606E8">
                <w:pPr>
                  <w:rPr>
                    <w:rFonts w:ascii="Calibri"/>
                    <w:color w:val="000000"/>
                    <w:sz w:val="20"/>
                  </w:rPr>
                </w:pPr>
                <w:r>
                  <w:rPr>
                    <w:rFonts w:ascii="Calibri"/>
                    <w:color w:val="000000"/>
                    <w:sz w:val="20"/>
                  </w:rPr>
                  <w:t xml:space="preserve"> </w:t>
                </w:r>
              </w:p>
            </w:tc>
          </w:tr>
          <w:tr w:rsidR="002606E8" w14:paraId="32F0BC89" w14:textId="77777777">
            <w:trPr>
              <w:cantSplit/>
              <w:jc w:val="center"/>
            </w:trPr>
            <w:tc>
              <w:tcPr>
                <w:tcW w:w="2517" w:type="pct"/>
                <w:shd w:val="clear" w:color="auto" w:fill="FFFFFF"/>
                <w:tcMar>
                  <w:top w:w="15" w:type="dxa"/>
                  <w:left w:w="0" w:type="dxa"/>
                  <w:bottom w:w="0" w:type="dxa"/>
                  <w:right w:w="15" w:type="dxa"/>
                </w:tcMar>
              </w:tcPr>
              <w:p w14:paraId="754516C9" w14:textId="77777777" w:rsidR="002606E8" w:rsidRDefault="002606E8" w:rsidP="002606E8">
                <w:pPr>
                  <w:keepNext/>
                  <w:rPr>
                    <w:rFonts w:ascii="Calibri"/>
                    <w:color w:val="000000"/>
                    <w:sz w:val="20"/>
                  </w:rPr>
                </w:pPr>
                <w:r>
                  <w:rPr>
                    <w:rFonts w:ascii="Calibri"/>
                    <w:color w:val="000000"/>
                    <w:sz w:val="20"/>
                  </w:rPr>
                  <w:t>Non-interest expense</w:t>
                </w:r>
              </w:p>
            </w:tc>
            <w:tc>
              <w:tcPr>
                <w:tcW w:w="61" w:type="pct"/>
                <w:shd w:val="clear" w:color="auto" w:fill="FFFFFF"/>
                <w:tcMar>
                  <w:top w:w="15" w:type="dxa"/>
                  <w:left w:w="0" w:type="dxa"/>
                  <w:bottom w:w="0" w:type="dxa"/>
                  <w:right w:w="15" w:type="dxa"/>
                </w:tcMar>
                <w:vAlign w:val="bottom"/>
              </w:tcPr>
              <w:p w14:paraId="76881128"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D071A59"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748ABB0B"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93698B9"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0E8DB146"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CD68984"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7D668AE7"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1EBCD28"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2E2A6082"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AC52110"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67922160"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C175369"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55E7E6CB"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C8DD921"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28CFA998" w14:textId="77777777" w:rsidR="002606E8" w:rsidRDefault="002606E8" w:rsidP="002606E8">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1AA078E" w14:textId="77777777" w:rsidR="002606E8" w:rsidRDefault="002606E8" w:rsidP="002606E8">
                <w:pPr>
                  <w:rPr>
                    <w:rFonts w:ascii="Calibri"/>
                    <w:color w:val="000000"/>
                    <w:sz w:val="20"/>
                  </w:rPr>
                </w:pPr>
                <w:r>
                  <w:rPr>
                    <w:rFonts w:ascii="Calibri"/>
                    <w:color w:val="000000"/>
                    <w:sz w:val="20"/>
                  </w:rPr>
                  <w:t xml:space="preserve"> </w:t>
                </w:r>
              </w:p>
            </w:tc>
          </w:tr>
          <w:tr w:rsidR="002606E8" w14:paraId="2DF3F1F9" w14:textId="77777777">
            <w:trPr>
              <w:cantSplit/>
              <w:jc w:val="center"/>
            </w:trPr>
            <w:tc>
              <w:tcPr>
                <w:tcW w:w="2517" w:type="pct"/>
                <w:shd w:val="clear" w:color="auto" w:fill="CFF0FC"/>
                <w:tcMar>
                  <w:top w:w="15" w:type="dxa"/>
                  <w:left w:w="0" w:type="dxa"/>
                  <w:bottom w:w="0" w:type="dxa"/>
                  <w:right w:w="15" w:type="dxa"/>
                </w:tcMar>
              </w:tcPr>
              <w:p w14:paraId="587DA777" w14:textId="77777777" w:rsidR="002606E8" w:rsidRDefault="002606E8" w:rsidP="002606E8">
                <w:pPr>
                  <w:keepNext/>
                  <w:ind w:left="274"/>
                  <w:rPr>
                    <w:rFonts w:ascii="Calibri"/>
                    <w:color w:val="000000"/>
                    <w:sz w:val="20"/>
                  </w:rPr>
                </w:pPr>
                <w:r>
                  <w:rPr>
                    <w:rFonts w:ascii="Calibri"/>
                    <w:color w:val="000000"/>
                    <w:sz w:val="20"/>
                  </w:rPr>
                  <w:t>Salaries and employee benefits</w:t>
                </w:r>
              </w:p>
            </w:tc>
            <w:tc>
              <w:tcPr>
                <w:tcW w:w="61" w:type="pct"/>
                <w:shd w:val="clear" w:color="auto" w:fill="CFF0FC"/>
                <w:tcMar>
                  <w:top w:w="15" w:type="dxa"/>
                  <w:left w:w="0" w:type="dxa"/>
                  <w:bottom w:w="0" w:type="dxa"/>
                  <w:right w:w="15" w:type="dxa"/>
                </w:tcMar>
                <w:vAlign w:val="bottom"/>
              </w:tcPr>
              <w:p w14:paraId="678E55F2"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A841D53"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1965CF06" w14:textId="77777777" w:rsidR="002606E8" w:rsidRDefault="002606E8">
                <w:pPr>
                  <w:jc w:val="right"/>
                  <w:rPr>
                    <w:rFonts w:ascii="Calibri"/>
                    <w:color w:val="000000"/>
                    <w:sz w:val="20"/>
                  </w:rPr>
                </w:pPr>
                <w:r>
                  <w:rPr>
                    <w:rFonts w:ascii="Calibri"/>
                    <w:color w:val="000000"/>
                    <w:sz w:val="20"/>
                  </w:rPr>
                  <w:t>1,330,540</w:t>
                </w:r>
              </w:p>
            </w:tc>
            <w:tc>
              <w:tcPr>
                <w:tcW w:w="50" w:type="pct"/>
                <w:shd w:val="clear" w:color="auto" w:fill="CFF0FC"/>
                <w:noWrap/>
                <w:tcMar>
                  <w:top w:w="15" w:type="dxa"/>
                  <w:left w:w="0" w:type="dxa"/>
                  <w:bottom w:w="0" w:type="dxa"/>
                  <w:right w:w="15" w:type="dxa"/>
                </w:tcMar>
                <w:vAlign w:val="bottom"/>
              </w:tcPr>
              <w:p w14:paraId="71C3D2CC"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07AD01A"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28E2FD2"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23CD2B83" w14:textId="77777777" w:rsidR="002606E8" w:rsidRDefault="002606E8">
                <w:pPr>
                  <w:jc w:val="right"/>
                  <w:rPr>
                    <w:rFonts w:ascii="Calibri"/>
                    <w:color w:val="000000"/>
                    <w:sz w:val="20"/>
                  </w:rPr>
                </w:pPr>
                <w:r>
                  <w:rPr>
                    <w:rFonts w:ascii="Calibri"/>
                    <w:color w:val="000000"/>
                    <w:sz w:val="20"/>
                  </w:rPr>
                  <w:t>1,229,834</w:t>
                </w:r>
              </w:p>
            </w:tc>
            <w:tc>
              <w:tcPr>
                <w:tcW w:w="50" w:type="pct"/>
                <w:shd w:val="clear" w:color="auto" w:fill="CFF0FC"/>
                <w:noWrap/>
                <w:tcMar>
                  <w:top w:w="15" w:type="dxa"/>
                  <w:left w:w="0" w:type="dxa"/>
                  <w:bottom w:w="0" w:type="dxa"/>
                  <w:right w:w="15" w:type="dxa"/>
                </w:tcMar>
                <w:vAlign w:val="bottom"/>
              </w:tcPr>
              <w:p w14:paraId="110B039D"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6E966002"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9EE173D"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5DFE4D9C" w14:textId="77777777" w:rsidR="002606E8" w:rsidRDefault="002606E8">
                <w:pPr>
                  <w:jc w:val="right"/>
                  <w:rPr>
                    <w:rFonts w:ascii="Calibri"/>
                    <w:color w:val="000000"/>
                    <w:sz w:val="20"/>
                  </w:rPr>
                </w:pPr>
                <w:r>
                  <w:rPr>
                    <w:rFonts w:ascii="Calibri"/>
                    <w:color w:val="000000"/>
                    <w:sz w:val="20"/>
                  </w:rPr>
                  <w:t>3,790,526</w:t>
                </w:r>
              </w:p>
            </w:tc>
            <w:tc>
              <w:tcPr>
                <w:tcW w:w="50" w:type="pct"/>
                <w:shd w:val="clear" w:color="auto" w:fill="CFF0FC"/>
                <w:noWrap/>
                <w:tcMar>
                  <w:top w:w="15" w:type="dxa"/>
                  <w:left w:w="0" w:type="dxa"/>
                  <w:bottom w:w="0" w:type="dxa"/>
                  <w:right w:w="15" w:type="dxa"/>
                </w:tcMar>
                <w:vAlign w:val="bottom"/>
              </w:tcPr>
              <w:p w14:paraId="7FF43A53"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76E8E7E"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75D59DB"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634CF77B" w14:textId="77777777" w:rsidR="002606E8" w:rsidRDefault="002606E8">
                <w:pPr>
                  <w:jc w:val="right"/>
                  <w:rPr>
                    <w:rFonts w:ascii="Calibri"/>
                    <w:color w:val="000000"/>
                    <w:sz w:val="20"/>
                  </w:rPr>
                </w:pPr>
                <w:r>
                  <w:rPr>
                    <w:rFonts w:ascii="Calibri"/>
                    <w:color w:val="000000"/>
                    <w:sz w:val="20"/>
                  </w:rPr>
                  <w:t>3,704,454</w:t>
                </w:r>
              </w:p>
            </w:tc>
            <w:tc>
              <w:tcPr>
                <w:tcW w:w="50" w:type="pct"/>
                <w:shd w:val="clear" w:color="auto" w:fill="CFF0FC"/>
                <w:noWrap/>
                <w:tcMar>
                  <w:top w:w="15" w:type="dxa"/>
                  <w:left w:w="0" w:type="dxa"/>
                  <w:bottom w:w="0" w:type="dxa"/>
                  <w:right w:w="15" w:type="dxa"/>
                </w:tcMar>
                <w:vAlign w:val="bottom"/>
              </w:tcPr>
              <w:p w14:paraId="1ABF0A1E" w14:textId="77777777" w:rsidR="002606E8" w:rsidRDefault="002606E8">
                <w:pPr>
                  <w:rPr>
                    <w:rFonts w:ascii="Calibri"/>
                    <w:color w:val="000000"/>
                    <w:sz w:val="20"/>
                  </w:rPr>
                </w:pPr>
                <w:r>
                  <w:rPr>
                    <w:rFonts w:ascii="Calibri"/>
                    <w:color w:val="000000"/>
                    <w:sz w:val="20"/>
                  </w:rPr>
                  <w:t xml:space="preserve"> </w:t>
                </w:r>
              </w:p>
            </w:tc>
          </w:tr>
          <w:tr w:rsidR="002606E8" w14:paraId="243B3501" w14:textId="77777777">
            <w:trPr>
              <w:cantSplit/>
              <w:jc w:val="center"/>
            </w:trPr>
            <w:tc>
              <w:tcPr>
                <w:tcW w:w="2517" w:type="pct"/>
                <w:shd w:val="clear" w:color="auto" w:fill="FFFFFF"/>
                <w:tcMar>
                  <w:top w:w="15" w:type="dxa"/>
                  <w:left w:w="0" w:type="dxa"/>
                  <w:bottom w:w="0" w:type="dxa"/>
                  <w:right w:w="15" w:type="dxa"/>
                </w:tcMar>
              </w:tcPr>
              <w:p w14:paraId="0296A578" w14:textId="77777777" w:rsidR="002606E8" w:rsidRDefault="002606E8" w:rsidP="002606E8">
                <w:pPr>
                  <w:keepNext/>
                  <w:ind w:left="274"/>
                  <w:rPr>
                    <w:rFonts w:ascii="Calibri"/>
                    <w:color w:val="000000"/>
                    <w:sz w:val="20"/>
                  </w:rPr>
                </w:pPr>
                <w:r>
                  <w:rPr>
                    <w:rFonts w:ascii="Calibri"/>
                    <w:color w:val="000000"/>
                    <w:sz w:val="20"/>
                  </w:rPr>
                  <w:t>Occupancy and equipment</w:t>
                </w:r>
              </w:p>
            </w:tc>
            <w:tc>
              <w:tcPr>
                <w:tcW w:w="61" w:type="pct"/>
                <w:shd w:val="clear" w:color="auto" w:fill="FFFFFF"/>
                <w:tcMar>
                  <w:top w:w="15" w:type="dxa"/>
                  <w:left w:w="0" w:type="dxa"/>
                  <w:bottom w:w="0" w:type="dxa"/>
                  <w:right w:w="15" w:type="dxa"/>
                </w:tcMar>
                <w:vAlign w:val="bottom"/>
              </w:tcPr>
              <w:p w14:paraId="68568F0F"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5BBB2192"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3503B6D5" w14:textId="77777777" w:rsidR="002606E8" w:rsidRDefault="002606E8">
                <w:pPr>
                  <w:jc w:val="right"/>
                  <w:rPr>
                    <w:rFonts w:ascii="Calibri"/>
                    <w:color w:val="000000"/>
                    <w:sz w:val="20"/>
                  </w:rPr>
                </w:pPr>
                <w:r>
                  <w:rPr>
                    <w:rFonts w:ascii="Calibri"/>
                    <w:color w:val="000000"/>
                    <w:sz w:val="20"/>
                  </w:rPr>
                  <w:t>166,592</w:t>
                </w:r>
              </w:p>
            </w:tc>
            <w:tc>
              <w:tcPr>
                <w:tcW w:w="50" w:type="pct"/>
                <w:shd w:val="clear" w:color="auto" w:fill="FFFFFF"/>
                <w:noWrap/>
                <w:tcMar>
                  <w:top w:w="15" w:type="dxa"/>
                  <w:left w:w="0" w:type="dxa"/>
                  <w:bottom w:w="0" w:type="dxa"/>
                  <w:right w:w="15" w:type="dxa"/>
                </w:tcMar>
                <w:vAlign w:val="bottom"/>
              </w:tcPr>
              <w:p w14:paraId="6A89C638"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42863F11"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32E3828"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0F2D2D3A" w14:textId="77777777" w:rsidR="002606E8" w:rsidRDefault="002606E8">
                <w:pPr>
                  <w:jc w:val="right"/>
                  <w:rPr>
                    <w:rFonts w:ascii="Calibri"/>
                    <w:color w:val="000000"/>
                    <w:sz w:val="20"/>
                  </w:rPr>
                </w:pPr>
                <w:r>
                  <w:rPr>
                    <w:rFonts w:ascii="Calibri"/>
                    <w:color w:val="000000"/>
                    <w:sz w:val="20"/>
                  </w:rPr>
                  <w:t>162,945</w:t>
                </w:r>
              </w:p>
            </w:tc>
            <w:tc>
              <w:tcPr>
                <w:tcW w:w="50" w:type="pct"/>
                <w:shd w:val="clear" w:color="auto" w:fill="FFFFFF"/>
                <w:noWrap/>
                <w:tcMar>
                  <w:top w:w="15" w:type="dxa"/>
                  <w:left w:w="0" w:type="dxa"/>
                  <w:bottom w:w="0" w:type="dxa"/>
                  <w:right w:w="15" w:type="dxa"/>
                </w:tcMar>
                <w:vAlign w:val="bottom"/>
              </w:tcPr>
              <w:p w14:paraId="532CC39D"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77594B0E"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7A13CF1"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3FABAFE9" w14:textId="77777777" w:rsidR="002606E8" w:rsidRDefault="002606E8">
                <w:pPr>
                  <w:jc w:val="right"/>
                  <w:rPr>
                    <w:rFonts w:ascii="Calibri"/>
                    <w:color w:val="000000"/>
                    <w:sz w:val="20"/>
                  </w:rPr>
                </w:pPr>
                <w:r>
                  <w:rPr>
                    <w:rFonts w:ascii="Calibri"/>
                    <w:color w:val="000000"/>
                    <w:sz w:val="20"/>
                  </w:rPr>
                  <w:t>495,509</w:t>
                </w:r>
              </w:p>
            </w:tc>
            <w:tc>
              <w:tcPr>
                <w:tcW w:w="50" w:type="pct"/>
                <w:shd w:val="clear" w:color="auto" w:fill="FFFFFF"/>
                <w:noWrap/>
                <w:tcMar>
                  <w:top w:w="15" w:type="dxa"/>
                  <w:left w:w="0" w:type="dxa"/>
                  <w:bottom w:w="0" w:type="dxa"/>
                  <w:right w:w="15" w:type="dxa"/>
                </w:tcMar>
                <w:vAlign w:val="bottom"/>
              </w:tcPr>
              <w:p w14:paraId="388846A0"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5F0A3ED1"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2718B7D6"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7A515365" w14:textId="77777777" w:rsidR="002606E8" w:rsidRDefault="002606E8">
                <w:pPr>
                  <w:jc w:val="right"/>
                  <w:rPr>
                    <w:rFonts w:ascii="Calibri"/>
                    <w:color w:val="000000"/>
                    <w:sz w:val="20"/>
                  </w:rPr>
                </w:pPr>
                <w:r>
                  <w:rPr>
                    <w:rFonts w:ascii="Calibri"/>
                    <w:color w:val="000000"/>
                    <w:sz w:val="20"/>
                  </w:rPr>
                  <w:t>513,517</w:t>
                </w:r>
              </w:p>
            </w:tc>
            <w:tc>
              <w:tcPr>
                <w:tcW w:w="50" w:type="pct"/>
                <w:shd w:val="clear" w:color="auto" w:fill="FFFFFF"/>
                <w:noWrap/>
                <w:tcMar>
                  <w:top w:w="15" w:type="dxa"/>
                  <w:left w:w="0" w:type="dxa"/>
                  <w:bottom w:w="0" w:type="dxa"/>
                  <w:right w:w="15" w:type="dxa"/>
                </w:tcMar>
                <w:vAlign w:val="bottom"/>
              </w:tcPr>
              <w:p w14:paraId="1CF954E9" w14:textId="77777777" w:rsidR="002606E8" w:rsidRDefault="002606E8">
                <w:pPr>
                  <w:rPr>
                    <w:rFonts w:ascii="Calibri"/>
                    <w:color w:val="000000"/>
                    <w:sz w:val="20"/>
                  </w:rPr>
                </w:pPr>
                <w:r>
                  <w:rPr>
                    <w:rFonts w:ascii="Calibri"/>
                    <w:color w:val="000000"/>
                    <w:sz w:val="20"/>
                  </w:rPr>
                  <w:t xml:space="preserve"> </w:t>
                </w:r>
              </w:p>
            </w:tc>
          </w:tr>
          <w:tr w:rsidR="002606E8" w14:paraId="19DD2418" w14:textId="77777777">
            <w:trPr>
              <w:cantSplit/>
              <w:jc w:val="center"/>
            </w:trPr>
            <w:tc>
              <w:tcPr>
                <w:tcW w:w="2517" w:type="pct"/>
                <w:shd w:val="clear" w:color="auto" w:fill="CFF0FC"/>
                <w:tcMar>
                  <w:top w:w="15" w:type="dxa"/>
                  <w:left w:w="0" w:type="dxa"/>
                  <w:bottom w:w="0" w:type="dxa"/>
                  <w:right w:w="15" w:type="dxa"/>
                </w:tcMar>
              </w:tcPr>
              <w:p w14:paraId="0E6D3059" w14:textId="77777777" w:rsidR="002606E8" w:rsidRDefault="002606E8" w:rsidP="002606E8">
                <w:pPr>
                  <w:keepNext/>
                  <w:ind w:left="274"/>
                  <w:rPr>
                    <w:rFonts w:ascii="Calibri"/>
                    <w:color w:val="000000"/>
                    <w:sz w:val="20"/>
                  </w:rPr>
                </w:pPr>
                <w:r>
                  <w:rPr>
                    <w:rFonts w:ascii="Calibri"/>
                    <w:color w:val="000000"/>
                    <w:sz w:val="20"/>
                  </w:rPr>
                  <w:t>FDIC insurance assessment</w:t>
                </w:r>
              </w:p>
            </w:tc>
            <w:tc>
              <w:tcPr>
                <w:tcW w:w="61" w:type="pct"/>
                <w:shd w:val="clear" w:color="auto" w:fill="CFF0FC"/>
                <w:tcMar>
                  <w:top w:w="15" w:type="dxa"/>
                  <w:left w:w="0" w:type="dxa"/>
                  <w:bottom w:w="0" w:type="dxa"/>
                  <w:right w:w="15" w:type="dxa"/>
                </w:tcMar>
                <w:vAlign w:val="bottom"/>
              </w:tcPr>
              <w:p w14:paraId="0DE476AA"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0A9114E"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4109A3FE" w14:textId="77777777" w:rsidR="002606E8" w:rsidRDefault="002606E8">
                <w:pPr>
                  <w:jc w:val="right"/>
                  <w:rPr>
                    <w:rFonts w:ascii="Calibri"/>
                    <w:color w:val="000000"/>
                    <w:sz w:val="20"/>
                  </w:rPr>
                </w:pPr>
                <w:r>
                  <w:rPr>
                    <w:rFonts w:ascii="Calibri"/>
                    <w:color w:val="000000"/>
                    <w:sz w:val="20"/>
                  </w:rPr>
                  <w:t>45,000</w:t>
                </w:r>
              </w:p>
            </w:tc>
            <w:tc>
              <w:tcPr>
                <w:tcW w:w="50" w:type="pct"/>
                <w:shd w:val="clear" w:color="auto" w:fill="CFF0FC"/>
                <w:noWrap/>
                <w:tcMar>
                  <w:top w:w="15" w:type="dxa"/>
                  <w:left w:w="0" w:type="dxa"/>
                  <w:bottom w:w="0" w:type="dxa"/>
                  <w:right w:w="15" w:type="dxa"/>
                </w:tcMar>
                <w:vAlign w:val="bottom"/>
              </w:tcPr>
              <w:p w14:paraId="29E52C21"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7DAB432"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C3FC391"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353E96F9" w14:textId="77777777" w:rsidR="002606E8" w:rsidRDefault="002606E8">
                <w:pPr>
                  <w:jc w:val="right"/>
                  <w:rPr>
                    <w:rFonts w:ascii="Calibri"/>
                    <w:color w:val="000000"/>
                    <w:sz w:val="20"/>
                  </w:rPr>
                </w:pPr>
                <w:r>
                  <w:rPr>
                    <w:rFonts w:ascii="Calibri"/>
                    <w:color w:val="000000"/>
                    <w:sz w:val="20"/>
                  </w:rPr>
                  <w:t>14,161</w:t>
                </w:r>
              </w:p>
            </w:tc>
            <w:tc>
              <w:tcPr>
                <w:tcW w:w="50" w:type="pct"/>
                <w:shd w:val="clear" w:color="auto" w:fill="CFF0FC"/>
                <w:noWrap/>
                <w:tcMar>
                  <w:top w:w="15" w:type="dxa"/>
                  <w:left w:w="0" w:type="dxa"/>
                  <w:bottom w:w="0" w:type="dxa"/>
                  <w:right w:w="15" w:type="dxa"/>
                </w:tcMar>
                <w:vAlign w:val="bottom"/>
              </w:tcPr>
              <w:p w14:paraId="3D32ADB1"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C3E33F8"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95C94AC"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4FC073AF" w14:textId="77777777" w:rsidR="002606E8" w:rsidRDefault="002606E8">
                <w:pPr>
                  <w:jc w:val="right"/>
                  <w:rPr>
                    <w:rFonts w:ascii="Calibri"/>
                    <w:color w:val="000000"/>
                    <w:sz w:val="20"/>
                  </w:rPr>
                </w:pPr>
                <w:r>
                  <w:rPr>
                    <w:rFonts w:ascii="Calibri"/>
                    <w:color w:val="000000"/>
                    <w:sz w:val="20"/>
                  </w:rPr>
                  <w:t>116,000</w:t>
                </w:r>
              </w:p>
            </w:tc>
            <w:tc>
              <w:tcPr>
                <w:tcW w:w="50" w:type="pct"/>
                <w:shd w:val="clear" w:color="auto" w:fill="CFF0FC"/>
                <w:noWrap/>
                <w:tcMar>
                  <w:top w:w="15" w:type="dxa"/>
                  <w:left w:w="0" w:type="dxa"/>
                  <w:bottom w:w="0" w:type="dxa"/>
                  <w:right w:w="15" w:type="dxa"/>
                </w:tcMar>
                <w:vAlign w:val="bottom"/>
              </w:tcPr>
              <w:p w14:paraId="2522DB50"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454464A1"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BD542C9"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6F70121A" w14:textId="77777777" w:rsidR="002606E8" w:rsidRDefault="002606E8">
                <w:pPr>
                  <w:jc w:val="right"/>
                  <w:rPr>
                    <w:rFonts w:ascii="Calibri"/>
                    <w:color w:val="000000"/>
                    <w:sz w:val="20"/>
                  </w:rPr>
                </w:pPr>
                <w:r>
                  <w:rPr>
                    <w:rFonts w:ascii="Calibri"/>
                    <w:color w:val="000000"/>
                    <w:sz w:val="20"/>
                  </w:rPr>
                  <w:t>75,296</w:t>
                </w:r>
              </w:p>
            </w:tc>
            <w:tc>
              <w:tcPr>
                <w:tcW w:w="50" w:type="pct"/>
                <w:shd w:val="clear" w:color="auto" w:fill="CFF0FC"/>
                <w:noWrap/>
                <w:tcMar>
                  <w:top w:w="15" w:type="dxa"/>
                  <w:left w:w="0" w:type="dxa"/>
                  <w:bottom w:w="0" w:type="dxa"/>
                  <w:right w:w="15" w:type="dxa"/>
                </w:tcMar>
                <w:vAlign w:val="bottom"/>
              </w:tcPr>
              <w:p w14:paraId="39735DAA" w14:textId="77777777" w:rsidR="002606E8" w:rsidRDefault="002606E8">
                <w:pPr>
                  <w:rPr>
                    <w:rFonts w:ascii="Calibri"/>
                    <w:color w:val="000000"/>
                    <w:sz w:val="20"/>
                  </w:rPr>
                </w:pPr>
                <w:r>
                  <w:rPr>
                    <w:rFonts w:ascii="Calibri"/>
                    <w:color w:val="000000"/>
                    <w:sz w:val="20"/>
                  </w:rPr>
                  <w:t xml:space="preserve"> </w:t>
                </w:r>
              </w:p>
            </w:tc>
          </w:tr>
          <w:tr w:rsidR="002606E8" w14:paraId="332DED76" w14:textId="77777777">
            <w:trPr>
              <w:cantSplit/>
              <w:jc w:val="center"/>
            </w:trPr>
            <w:tc>
              <w:tcPr>
                <w:tcW w:w="2517" w:type="pct"/>
                <w:shd w:val="clear" w:color="auto" w:fill="FFFFFF"/>
                <w:tcMar>
                  <w:top w:w="15" w:type="dxa"/>
                  <w:left w:w="0" w:type="dxa"/>
                  <w:bottom w:w="0" w:type="dxa"/>
                  <w:right w:w="15" w:type="dxa"/>
                </w:tcMar>
              </w:tcPr>
              <w:p w14:paraId="53BE5E52" w14:textId="77777777" w:rsidR="002606E8" w:rsidRDefault="002606E8" w:rsidP="002606E8">
                <w:pPr>
                  <w:keepNext/>
                  <w:ind w:left="274"/>
                  <w:rPr>
                    <w:rFonts w:ascii="Calibri"/>
                    <w:color w:val="000000"/>
                    <w:sz w:val="20"/>
                  </w:rPr>
                </w:pPr>
                <w:r>
                  <w:rPr>
                    <w:rFonts w:ascii="Calibri"/>
                    <w:color w:val="000000"/>
                    <w:sz w:val="20"/>
                  </w:rPr>
                  <w:t>Data processing</w:t>
                </w:r>
              </w:p>
            </w:tc>
            <w:tc>
              <w:tcPr>
                <w:tcW w:w="61" w:type="pct"/>
                <w:shd w:val="clear" w:color="auto" w:fill="FFFFFF"/>
                <w:tcMar>
                  <w:top w:w="15" w:type="dxa"/>
                  <w:left w:w="0" w:type="dxa"/>
                  <w:bottom w:w="0" w:type="dxa"/>
                  <w:right w:w="15" w:type="dxa"/>
                </w:tcMar>
                <w:vAlign w:val="bottom"/>
              </w:tcPr>
              <w:p w14:paraId="49355312"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DC0A6DE"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02CE5783" w14:textId="77777777" w:rsidR="002606E8" w:rsidRDefault="002606E8">
                <w:pPr>
                  <w:jc w:val="right"/>
                  <w:rPr>
                    <w:rFonts w:ascii="Calibri"/>
                    <w:color w:val="000000"/>
                    <w:sz w:val="20"/>
                  </w:rPr>
                </w:pPr>
                <w:r>
                  <w:rPr>
                    <w:rFonts w:ascii="Calibri"/>
                    <w:color w:val="000000"/>
                    <w:sz w:val="20"/>
                  </w:rPr>
                  <w:t>182,202</w:t>
                </w:r>
              </w:p>
            </w:tc>
            <w:tc>
              <w:tcPr>
                <w:tcW w:w="50" w:type="pct"/>
                <w:shd w:val="clear" w:color="auto" w:fill="FFFFFF"/>
                <w:noWrap/>
                <w:tcMar>
                  <w:top w:w="15" w:type="dxa"/>
                  <w:left w:w="0" w:type="dxa"/>
                  <w:bottom w:w="0" w:type="dxa"/>
                  <w:right w:w="15" w:type="dxa"/>
                </w:tcMar>
                <w:vAlign w:val="bottom"/>
              </w:tcPr>
              <w:p w14:paraId="40FFED4B"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353F32A3"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54866045"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422814BA" w14:textId="77777777" w:rsidR="002606E8" w:rsidRDefault="002606E8">
                <w:pPr>
                  <w:jc w:val="right"/>
                  <w:rPr>
                    <w:rFonts w:ascii="Calibri"/>
                    <w:color w:val="000000"/>
                    <w:sz w:val="20"/>
                  </w:rPr>
                </w:pPr>
                <w:r>
                  <w:rPr>
                    <w:rFonts w:ascii="Calibri"/>
                    <w:color w:val="000000"/>
                    <w:sz w:val="20"/>
                  </w:rPr>
                  <w:t>83,915</w:t>
                </w:r>
              </w:p>
            </w:tc>
            <w:tc>
              <w:tcPr>
                <w:tcW w:w="50" w:type="pct"/>
                <w:shd w:val="clear" w:color="auto" w:fill="FFFFFF"/>
                <w:noWrap/>
                <w:tcMar>
                  <w:top w:w="15" w:type="dxa"/>
                  <w:left w:w="0" w:type="dxa"/>
                  <w:bottom w:w="0" w:type="dxa"/>
                  <w:right w:w="15" w:type="dxa"/>
                </w:tcMar>
                <w:vAlign w:val="bottom"/>
              </w:tcPr>
              <w:p w14:paraId="16AFFF5C"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78E43373"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596CA78"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64E25BFF" w14:textId="77777777" w:rsidR="002606E8" w:rsidRDefault="002606E8">
                <w:pPr>
                  <w:jc w:val="right"/>
                  <w:rPr>
                    <w:rFonts w:ascii="Calibri"/>
                    <w:color w:val="000000"/>
                    <w:sz w:val="20"/>
                  </w:rPr>
                </w:pPr>
                <w:r>
                  <w:rPr>
                    <w:rFonts w:ascii="Calibri"/>
                    <w:color w:val="000000"/>
                    <w:sz w:val="20"/>
                  </w:rPr>
                  <w:t>493,439</w:t>
                </w:r>
              </w:p>
            </w:tc>
            <w:tc>
              <w:tcPr>
                <w:tcW w:w="50" w:type="pct"/>
                <w:shd w:val="clear" w:color="auto" w:fill="FFFFFF"/>
                <w:noWrap/>
                <w:tcMar>
                  <w:top w:w="15" w:type="dxa"/>
                  <w:left w:w="0" w:type="dxa"/>
                  <w:bottom w:w="0" w:type="dxa"/>
                  <w:right w:w="15" w:type="dxa"/>
                </w:tcMar>
                <w:vAlign w:val="bottom"/>
              </w:tcPr>
              <w:p w14:paraId="5AF02FE2"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4B69E0AB"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7DCEBB8"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314BC564" w14:textId="77777777" w:rsidR="002606E8" w:rsidRDefault="002606E8">
                <w:pPr>
                  <w:jc w:val="right"/>
                  <w:rPr>
                    <w:rFonts w:ascii="Calibri"/>
                    <w:color w:val="000000"/>
                    <w:sz w:val="20"/>
                  </w:rPr>
                </w:pPr>
                <w:r>
                  <w:rPr>
                    <w:rFonts w:ascii="Calibri"/>
                    <w:color w:val="000000"/>
                    <w:sz w:val="20"/>
                  </w:rPr>
                  <w:t>820,958</w:t>
                </w:r>
              </w:p>
            </w:tc>
            <w:tc>
              <w:tcPr>
                <w:tcW w:w="50" w:type="pct"/>
                <w:shd w:val="clear" w:color="auto" w:fill="FFFFFF"/>
                <w:noWrap/>
                <w:tcMar>
                  <w:top w:w="15" w:type="dxa"/>
                  <w:left w:w="0" w:type="dxa"/>
                  <w:bottom w:w="0" w:type="dxa"/>
                  <w:right w:w="15" w:type="dxa"/>
                </w:tcMar>
                <w:vAlign w:val="bottom"/>
              </w:tcPr>
              <w:p w14:paraId="42E0551C" w14:textId="77777777" w:rsidR="002606E8" w:rsidRDefault="002606E8">
                <w:pPr>
                  <w:rPr>
                    <w:rFonts w:ascii="Calibri"/>
                    <w:color w:val="000000"/>
                    <w:sz w:val="20"/>
                  </w:rPr>
                </w:pPr>
                <w:r>
                  <w:rPr>
                    <w:rFonts w:ascii="Calibri"/>
                    <w:color w:val="000000"/>
                    <w:sz w:val="20"/>
                  </w:rPr>
                  <w:t xml:space="preserve"> </w:t>
                </w:r>
              </w:p>
            </w:tc>
          </w:tr>
          <w:tr w:rsidR="002606E8" w14:paraId="5A9D599E" w14:textId="77777777">
            <w:trPr>
              <w:cantSplit/>
              <w:jc w:val="center"/>
            </w:trPr>
            <w:tc>
              <w:tcPr>
                <w:tcW w:w="2517" w:type="pct"/>
                <w:shd w:val="clear" w:color="auto" w:fill="CFF0FC"/>
                <w:tcMar>
                  <w:top w:w="15" w:type="dxa"/>
                  <w:left w:w="0" w:type="dxa"/>
                  <w:bottom w:w="0" w:type="dxa"/>
                  <w:right w:w="15" w:type="dxa"/>
                </w:tcMar>
              </w:tcPr>
              <w:p w14:paraId="03FB9CFD" w14:textId="77777777" w:rsidR="002606E8" w:rsidRDefault="002606E8" w:rsidP="002606E8">
                <w:pPr>
                  <w:keepNext/>
                  <w:ind w:left="274"/>
                  <w:rPr>
                    <w:rFonts w:ascii="Calibri"/>
                    <w:color w:val="000000"/>
                    <w:sz w:val="20"/>
                  </w:rPr>
                </w:pPr>
                <w:r>
                  <w:rPr>
                    <w:rFonts w:ascii="Calibri"/>
                    <w:color w:val="000000"/>
                    <w:sz w:val="20"/>
                  </w:rPr>
                  <w:t>Advertising</w:t>
                </w:r>
              </w:p>
            </w:tc>
            <w:tc>
              <w:tcPr>
                <w:tcW w:w="61" w:type="pct"/>
                <w:shd w:val="clear" w:color="auto" w:fill="CFF0FC"/>
                <w:tcMar>
                  <w:top w:w="15" w:type="dxa"/>
                  <w:left w:w="0" w:type="dxa"/>
                  <w:bottom w:w="0" w:type="dxa"/>
                  <w:right w:w="15" w:type="dxa"/>
                </w:tcMar>
                <w:vAlign w:val="bottom"/>
              </w:tcPr>
              <w:p w14:paraId="66C25692"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88015E0"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74D40F5C" w14:textId="77777777" w:rsidR="002606E8" w:rsidRDefault="002606E8">
                <w:pPr>
                  <w:jc w:val="right"/>
                  <w:rPr>
                    <w:rFonts w:ascii="Calibri"/>
                    <w:color w:val="000000"/>
                    <w:sz w:val="20"/>
                  </w:rPr>
                </w:pPr>
                <w:r>
                  <w:rPr>
                    <w:rFonts w:ascii="Calibri"/>
                    <w:color w:val="000000"/>
                    <w:sz w:val="20"/>
                  </w:rPr>
                  <w:t>30,000</w:t>
                </w:r>
              </w:p>
            </w:tc>
            <w:tc>
              <w:tcPr>
                <w:tcW w:w="50" w:type="pct"/>
                <w:shd w:val="clear" w:color="auto" w:fill="CFF0FC"/>
                <w:noWrap/>
                <w:tcMar>
                  <w:top w:w="15" w:type="dxa"/>
                  <w:left w:w="0" w:type="dxa"/>
                  <w:bottom w:w="0" w:type="dxa"/>
                  <w:right w:w="15" w:type="dxa"/>
                </w:tcMar>
                <w:vAlign w:val="bottom"/>
              </w:tcPr>
              <w:p w14:paraId="065E2639"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64ED1E77"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7B69930"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331FBE19" w14:textId="77777777" w:rsidR="002606E8" w:rsidRDefault="002606E8">
                <w:pPr>
                  <w:jc w:val="right"/>
                  <w:rPr>
                    <w:rFonts w:ascii="Calibri"/>
                    <w:color w:val="000000"/>
                    <w:sz w:val="20"/>
                  </w:rPr>
                </w:pPr>
                <w:r>
                  <w:rPr>
                    <w:rFonts w:ascii="Calibri"/>
                    <w:color w:val="000000"/>
                    <w:sz w:val="20"/>
                  </w:rPr>
                  <w:t>65,000</w:t>
                </w:r>
              </w:p>
            </w:tc>
            <w:tc>
              <w:tcPr>
                <w:tcW w:w="50" w:type="pct"/>
                <w:shd w:val="clear" w:color="auto" w:fill="CFF0FC"/>
                <w:noWrap/>
                <w:tcMar>
                  <w:top w:w="15" w:type="dxa"/>
                  <w:left w:w="0" w:type="dxa"/>
                  <w:bottom w:w="0" w:type="dxa"/>
                  <w:right w:w="15" w:type="dxa"/>
                </w:tcMar>
                <w:vAlign w:val="bottom"/>
              </w:tcPr>
              <w:p w14:paraId="63CCA211"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C724FFA"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872EF95"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3C5DDEBA" w14:textId="77777777" w:rsidR="002606E8" w:rsidRDefault="002606E8">
                <w:pPr>
                  <w:jc w:val="right"/>
                  <w:rPr>
                    <w:rFonts w:ascii="Calibri"/>
                    <w:color w:val="000000"/>
                    <w:sz w:val="20"/>
                  </w:rPr>
                </w:pPr>
                <w:r>
                  <w:rPr>
                    <w:rFonts w:ascii="Calibri"/>
                    <w:color w:val="000000"/>
                    <w:sz w:val="20"/>
                  </w:rPr>
                  <w:t>131,814</w:t>
                </w:r>
              </w:p>
            </w:tc>
            <w:tc>
              <w:tcPr>
                <w:tcW w:w="50" w:type="pct"/>
                <w:shd w:val="clear" w:color="auto" w:fill="CFF0FC"/>
                <w:noWrap/>
                <w:tcMar>
                  <w:top w:w="15" w:type="dxa"/>
                  <w:left w:w="0" w:type="dxa"/>
                  <w:bottom w:w="0" w:type="dxa"/>
                  <w:right w:w="15" w:type="dxa"/>
                </w:tcMar>
                <w:vAlign w:val="bottom"/>
              </w:tcPr>
              <w:p w14:paraId="783656DD"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7AF5F8F"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DF1D3C7"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41566989" w14:textId="77777777" w:rsidR="002606E8" w:rsidRDefault="002606E8">
                <w:pPr>
                  <w:jc w:val="right"/>
                  <w:rPr>
                    <w:rFonts w:ascii="Calibri"/>
                    <w:color w:val="000000"/>
                    <w:sz w:val="20"/>
                  </w:rPr>
                </w:pPr>
                <w:r>
                  <w:rPr>
                    <w:rFonts w:ascii="Calibri"/>
                    <w:color w:val="000000"/>
                    <w:sz w:val="20"/>
                  </w:rPr>
                  <w:t>185,000</w:t>
                </w:r>
              </w:p>
            </w:tc>
            <w:tc>
              <w:tcPr>
                <w:tcW w:w="50" w:type="pct"/>
                <w:shd w:val="clear" w:color="auto" w:fill="CFF0FC"/>
                <w:noWrap/>
                <w:tcMar>
                  <w:top w:w="15" w:type="dxa"/>
                  <w:left w:w="0" w:type="dxa"/>
                  <w:bottom w:w="0" w:type="dxa"/>
                  <w:right w:w="15" w:type="dxa"/>
                </w:tcMar>
                <w:vAlign w:val="bottom"/>
              </w:tcPr>
              <w:p w14:paraId="2B1B8A82" w14:textId="77777777" w:rsidR="002606E8" w:rsidRDefault="002606E8">
                <w:pPr>
                  <w:rPr>
                    <w:rFonts w:ascii="Calibri"/>
                    <w:color w:val="000000"/>
                    <w:sz w:val="20"/>
                  </w:rPr>
                </w:pPr>
                <w:r>
                  <w:rPr>
                    <w:rFonts w:ascii="Calibri"/>
                    <w:color w:val="000000"/>
                    <w:sz w:val="20"/>
                  </w:rPr>
                  <w:t xml:space="preserve"> </w:t>
                </w:r>
              </w:p>
            </w:tc>
          </w:tr>
          <w:tr w:rsidR="002606E8" w14:paraId="0FAD609F" w14:textId="77777777">
            <w:trPr>
              <w:cantSplit/>
              <w:jc w:val="center"/>
            </w:trPr>
            <w:tc>
              <w:tcPr>
                <w:tcW w:w="2517" w:type="pct"/>
                <w:shd w:val="clear" w:color="auto" w:fill="FFFFFF"/>
                <w:tcMar>
                  <w:top w:w="15" w:type="dxa"/>
                  <w:left w:w="0" w:type="dxa"/>
                  <w:bottom w:w="0" w:type="dxa"/>
                  <w:right w:w="15" w:type="dxa"/>
                </w:tcMar>
              </w:tcPr>
              <w:p w14:paraId="6183EBAC" w14:textId="77777777" w:rsidR="002606E8" w:rsidRDefault="002606E8" w:rsidP="002606E8">
                <w:pPr>
                  <w:keepNext/>
                  <w:ind w:left="274"/>
                  <w:rPr>
                    <w:rFonts w:ascii="Calibri"/>
                    <w:color w:val="000000"/>
                    <w:sz w:val="20"/>
                  </w:rPr>
                </w:pPr>
                <w:r>
                  <w:rPr>
                    <w:rFonts w:ascii="Calibri"/>
                    <w:color w:val="000000"/>
                    <w:sz w:val="20"/>
                  </w:rPr>
                  <w:t>Director fees</w:t>
                </w:r>
              </w:p>
            </w:tc>
            <w:tc>
              <w:tcPr>
                <w:tcW w:w="61" w:type="pct"/>
                <w:shd w:val="clear" w:color="auto" w:fill="FFFFFF"/>
                <w:tcMar>
                  <w:top w:w="15" w:type="dxa"/>
                  <w:left w:w="0" w:type="dxa"/>
                  <w:bottom w:w="0" w:type="dxa"/>
                  <w:right w:w="15" w:type="dxa"/>
                </w:tcMar>
                <w:vAlign w:val="bottom"/>
              </w:tcPr>
              <w:p w14:paraId="1CF50731"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F21B73E"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4B7FBA90" w14:textId="77777777" w:rsidR="002606E8" w:rsidRDefault="002606E8">
                <w:pPr>
                  <w:jc w:val="right"/>
                  <w:rPr>
                    <w:rFonts w:ascii="Calibri"/>
                    <w:color w:val="000000"/>
                    <w:sz w:val="20"/>
                  </w:rPr>
                </w:pPr>
                <w:r>
                  <w:rPr>
                    <w:rFonts w:ascii="Calibri"/>
                    <w:color w:val="000000"/>
                    <w:sz w:val="20"/>
                  </w:rPr>
                  <w:t>181,916</w:t>
                </w:r>
              </w:p>
            </w:tc>
            <w:tc>
              <w:tcPr>
                <w:tcW w:w="50" w:type="pct"/>
                <w:shd w:val="clear" w:color="auto" w:fill="FFFFFF"/>
                <w:noWrap/>
                <w:tcMar>
                  <w:top w:w="15" w:type="dxa"/>
                  <w:left w:w="0" w:type="dxa"/>
                  <w:bottom w:w="0" w:type="dxa"/>
                  <w:right w:w="15" w:type="dxa"/>
                </w:tcMar>
                <w:vAlign w:val="bottom"/>
              </w:tcPr>
              <w:p w14:paraId="7E24F5A8"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6AF13BF1"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3958DF4"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5B7397CA" w14:textId="77777777" w:rsidR="002606E8" w:rsidRDefault="002606E8">
                <w:pPr>
                  <w:jc w:val="right"/>
                  <w:rPr>
                    <w:rFonts w:ascii="Calibri"/>
                    <w:color w:val="000000"/>
                    <w:sz w:val="20"/>
                  </w:rPr>
                </w:pPr>
                <w:r>
                  <w:rPr>
                    <w:rFonts w:ascii="Calibri"/>
                    <w:color w:val="000000"/>
                    <w:sz w:val="20"/>
                  </w:rPr>
                  <w:t>160,651</w:t>
                </w:r>
              </w:p>
            </w:tc>
            <w:tc>
              <w:tcPr>
                <w:tcW w:w="50" w:type="pct"/>
                <w:shd w:val="clear" w:color="auto" w:fill="FFFFFF"/>
                <w:noWrap/>
                <w:tcMar>
                  <w:top w:w="15" w:type="dxa"/>
                  <w:left w:w="0" w:type="dxa"/>
                  <w:bottom w:w="0" w:type="dxa"/>
                  <w:right w:w="15" w:type="dxa"/>
                </w:tcMar>
                <w:vAlign w:val="bottom"/>
              </w:tcPr>
              <w:p w14:paraId="7C930B87"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302E3082"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707A571"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7B62E56B" w14:textId="77777777" w:rsidR="002606E8" w:rsidRDefault="002606E8">
                <w:pPr>
                  <w:jc w:val="right"/>
                  <w:rPr>
                    <w:rFonts w:ascii="Calibri"/>
                    <w:color w:val="000000"/>
                    <w:sz w:val="20"/>
                  </w:rPr>
                </w:pPr>
                <w:r>
                  <w:rPr>
                    <w:rFonts w:ascii="Calibri"/>
                    <w:color w:val="000000"/>
                    <w:sz w:val="20"/>
                  </w:rPr>
                  <w:t>547,091</w:t>
                </w:r>
              </w:p>
            </w:tc>
            <w:tc>
              <w:tcPr>
                <w:tcW w:w="50" w:type="pct"/>
                <w:shd w:val="clear" w:color="auto" w:fill="FFFFFF"/>
                <w:noWrap/>
                <w:tcMar>
                  <w:top w:w="15" w:type="dxa"/>
                  <w:left w:w="0" w:type="dxa"/>
                  <w:bottom w:w="0" w:type="dxa"/>
                  <w:right w:w="15" w:type="dxa"/>
                </w:tcMar>
                <w:vAlign w:val="bottom"/>
              </w:tcPr>
              <w:p w14:paraId="1C08465D"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04802772"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375E2BB"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1C88011E" w14:textId="77777777" w:rsidR="002606E8" w:rsidRDefault="002606E8">
                <w:pPr>
                  <w:jc w:val="right"/>
                  <w:rPr>
                    <w:rFonts w:ascii="Calibri"/>
                    <w:color w:val="000000"/>
                    <w:sz w:val="20"/>
                  </w:rPr>
                </w:pPr>
                <w:r>
                  <w:rPr>
                    <w:rFonts w:ascii="Calibri"/>
                    <w:color w:val="000000"/>
                    <w:sz w:val="20"/>
                  </w:rPr>
                  <w:t>498,596</w:t>
                </w:r>
              </w:p>
            </w:tc>
            <w:tc>
              <w:tcPr>
                <w:tcW w:w="50" w:type="pct"/>
                <w:shd w:val="clear" w:color="auto" w:fill="FFFFFF"/>
                <w:noWrap/>
                <w:tcMar>
                  <w:top w:w="15" w:type="dxa"/>
                  <w:left w:w="0" w:type="dxa"/>
                  <w:bottom w:w="0" w:type="dxa"/>
                  <w:right w:w="15" w:type="dxa"/>
                </w:tcMar>
                <w:vAlign w:val="bottom"/>
              </w:tcPr>
              <w:p w14:paraId="289FA5EE" w14:textId="77777777" w:rsidR="002606E8" w:rsidRDefault="002606E8">
                <w:pPr>
                  <w:rPr>
                    <w:rFonts w:ascii="Calibri"/>
                    <w:color w:val="000000"/>
                    <w:sz w:val="20"/>
                  </w:rPr>
                </w:pPr>
                <w:r>
                  <w:rPr>
                    <w:rFonts w:ascii="Calibri"/>
                    <w:color w:val="000000"/>
                    <w:sz w:val="20"/>
                  </w:rPr>
                  <w:t xml:space="preserve"> </w:t>
                </w:r>
              </w:p>
            </w:tc>
          </w:tr>
          <w:tr w:rsidR="002606E8" w14:paraId="18361CC6" w14:textId="77777777">
            <w:trPr>
              <w:cantSplit/>
              <w:jc w:val="center"/>
            </w:trPr>
            <w:tc>
              <w:tcPr>
                <w:tcW w:w="2517" w:type="pct"/>
                <w:shd w:val="clear" w:color="auto" w:fill="CFF0FC"/>
                <w:tcMar>
                  <w:top w:w="15" w:type="dxa"/>
                  <w:left w:w="0" w:type="dxa"/>
                  <w:bottom w:w="0" w:type="dxa"/>
                  <w:right w:w="15" w:type="dxa"/>
                </w:tcMar>
              </w:tcPr>
              <w:p w14:paraId="09608058" w14:textId="77777777" w:rsidR="002606E8" w:rsidRDefault="002606E8" w:rsidP="002606E8">
                <w:pPr>
                  <w:keepNext/>
                  <w:ind w:left="274"/>
                  <w:rPr>
                    <w:rFonts w:ascii="Calibri"/>
                    <w:color w:val="000000"/>
                    <w:sz w:val="20"/>
                  </w:rPr>
                </w:pPr>
                <w:r>
                  <w:rPr>
                    <w:rFonts w:ascii="Calibri"/>
                    <w:color w:val="000000"/>
                    <w:sz w:val="20"/>
                  </w:rPr>
                  <w:t>Professional fees</w:t>
                </w:r>
              </w:p>
            </w:tc>
            <w:tc>
              <w:tcPr>
                <w:tcW w:w="61" w:type="pct"/>
                <w:shd w:val="clear" w:color="auto" w:fill="CFF0FC"/>
                <w:tcMar>
                  <w:top w:w="15" w:type="dxa"/>
                  <w:left w:w="0" w:type="dxa"/>
                  <w:bottom w:w="0" w:type="dxa"/>
                  <w:right w:w="15" w:type="dxa"/>
                </w:tcMar>
                <w:vAlign w:val="bottom"/>
              </w:tcPr>
              <w:p w14:paraId="56285582"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4653623"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19DADBB9" w14:textId="77777777" w:rsidR="002606E8" w:rsidRDefault="002606E8">
                <w:pPr>
                  <w:jc w:val="right"/>
                  <w:rPr>
                    <w:rFonts w:ascii="Calibri"/>
                    <w:color w:val="000000"/>
                    <w:sz w:val="20"/>
                  </w:rPr>
                </w:pPr>
                <w:r>
                  <w:rPr>
                    <w:rFonts w:ascii="Calibri"/>
                    <w:color w:val="000000"/>
                    <w:sz w:val="20"/>
                  </w:rPr>
                  <w:t>239,375</w:t>
                </w:r>
              </w:p>
            </w:tc>
            <w:tc>
              <w:tcPr>
                <w:tcW w:w="50" w:type="pct"/>
                <w:shd w:val="clear" w:color="auto" w:fill="CFF0FC"/>
                <w:noWrap/>
                <w:tcMar>
                  <w:top w:w="15" w:type="dxa"/>
                  <w:left w:w="0" w:type="dxa"/>
                  <w:bottom w:w="0" w:type="dxa"/>
                  <w:right w:w="15" w:type="dxa"/>
                </w:tcMar>
                <w:vAlign w:val="bottom"/>
              </w:tcPr>
              <w:p w14:paraId="7C2BF71C"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DB3E223"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8F72105"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7BBAA184" w14:textId="77777777" w:rsidR="002606E8" w:rsidRDefault="002606E8">
                <w:pPr>
                  <w:jc w:val="right"/>
                  <w:rPr>
                    <w:rFonts w:ascii="Calibri"/>
                    <w:color w:val="000000"/>
                    <w:sz w:val="20"/>
                  </w:rPr>
                </w:pPr>
                <w:r>
                  <w:rPr>
                    <w:rFonts w:ascii="Calibri"/>
                    <w:color w:val="000000"/>
                    <w:sz w:val="20"/>
                  </w:rPr>
                  <w:t>85,500</w:t>
                </w:r>
              </w:p>
            </w:tc>
            <w:tc>
              <w:tcPr>
                <w:tcW w:w="50" w:type="pct"/>
                <w:shd w:val="clear" w:color="auto" w:fill="CFF0FC"/>
                <w:noWrap/>
                <w:tcMar>
                  <w:top w:w="15" w:type="dxa"/>
                  <w:left w:w="0" w:type="dxa"/>
                  <w:bottom w:w="0" w:type="dxa"/>
                  <w:right w:w="15" w:type="dxa"/>
                </w:tcMar>
                <w:vAlign w:val="bottom"/>
              </w:tcPr>
              <w:p w14:paraId="41D349F3"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61C8D900"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139BA27"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4EA74C40" w14:textId="77777777" w:rsidR="002606E8" w:rsidRDefault="002606E8">
                <w:pPr>
                  <w:jc w:val="right"/>
                  <w:rPr>
                    <w:rFonts w:ascii="Calibri"/>
                    <w:color w:val="000000"/>
                    <w:sz w:val="20"/>
                  </w:rPr>
                </w:pPr>
                <w:r>
                  <w:rPr>
                    <w:rFonts w:ascii="Calibri"/>
                    <w:color w:val="000000"/>
                    <w:sz w:val="20"/>
                  </w:rPr>
                  <w:t>642,888</w:t>
                </w:r>
              </w:p>
            </w:tc>
            <w:tc>
              <w:tcPr>
                <w:tcW w:w="50" w:type="pct"/>
                <w:shd w:val="clear" w:color="auto" w:fill="CFF0FC"/>
                <w:noWrap/>
                <w:tcMar>
                  <w:top w:w="15" w:type="dxa"/>
                  <w:left w:w="0" w:type="dxa"/>
                  <w:bottom w:w="0" w:type="dxa"/>
                  <w:right w:w="15" w:type="dxa"/>
                </w:tcMar>
                <w:vAlign w:val="bottom"/>
              </w:tcPr>
              <w:p w14:paraId="03250440"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E20CC4A"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B49FFD7"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30E89421" w14:textId="77777777" w:rsidR="002606E8" w:rsidRDefault="002606E8">
                <w:pPr>
                  <w:jc w:val="right"/>
                  <w:rPr>
                    <w:rFonts w:ascii="Calibri"/>
                    <w:color w:val="000000"/>
                    <w:sz w:val="20"/>
                  </w:rPr>
                </w:pPr>
                <w:r>
                  <w:rPr>
                    <w:rFonts w:ascii="Calibri"/>
                    <w:color w:val="000000"/>
                    <w:sz w:val="20"/>
                  </w:rPr>
                  <w:t>208,000</w:t>
                </w:r>
              </w:p>
            </w:tc>
            <w:tc>
              <w:tcPr>
                <w:tcW w:w="50" w:type="pct"/>
                <w:shd w:val="clear" w:color="auto" w:fill="CFF0FC"/>
                <w:noWrap/>
                <w:tcMar>
                  <w:top w:w="15" w:type="dxa"/>
                  <w:left w:w="0" w:type="dxa"/>
                  <w:bottom w:w="0" w:type="dxa"/>
                  <w:right w:w="15" w:type="dxa"/>
                </w:tcMar>
                <w:vAlign w:val="bottom"/>
              </w:tcPr>
              <w:p w14:paraId="6587723B" w14:textId="77777777" w:rsidR="002606E8" w:rsidRDefault="002606E8">
                <w:pPr>
                  <w:rPr>
                    <w:rFonts w:ascii="Calibri"/>
                    <w:color w:val="000000"/>
                    <w:sz w:val="20"/>
                  </w:rPr>
                </w:pPr>
                <w:r>
                  <w:rPr>
                    <w:rFonts w:ascii="Calibri"/>
                    <w:color w:val="000000"/>
                    <w:sz w:val="20"/>
                  </w:rPr>
                  <w:t xml:space="preserve"> </w:t>
                </w:r>
              </w:p>
            </w:tc>
          </w:tr>
          <w:tr w:rsidR="002606E8" w14:paraId="1E8684F9" w14:textId="77777777">
            <w:trPr>
              <w:cantSplit/>
              <w:jc w:val="center"/>
            </w:trPr>
            <w:tc>
              <w:tcPr>
                <w:tcW w:w="2517" w:type="pct"/>
                <w:shd w:val="clear" w:color="auto" w:fill="FFFFFF"/>
                <w:tcMar>
                  <w:top w:w="15" w:type="dxa"/>
                  <w:left w:w="0" w:type="dxa"/>
                  <w:bottom w:w="0" w:type="dxa"/>
                  <w:right w:w="15" w:type="dxa"/>
                </w:tcMar>
              </w:tcPr>
              <w:p w14:paraId="6EFA9B83" w14:textId="77777777" w:rsidR="002606E8" w:rsidRDefault="002606E8" w:rsidP="002606E8">
                <w:pPr>
                  <w:keepNext/>
                  <w:ind w:left="274"/>
                  <w:rPr>
                    <w:rFonts w:ascii="Calibri"/>
                    <w:color w:val="000000"/>
                    <w:sz w:val="20"/>
                  </w:rPr>
                </w:pPr>
                <w:r>
                  <w:rPr>
                    <w:rFonts w:ascii="Calibri"/>
                    <w:color w:val="000000"/>
                    <w:sz w:val="20"/>
                  </w:rPr>
                  <w:t>Contribution to Charitable Foundation</w:t>
                </w:r>
              </w:p>
            </w:tc>
            <w:tc>
              <w:tcPr>
                <w:tcW w:w="61" w:type="pct"/>
                <w:shd w:val="clear" w:color="auto" w:fill="FFFFFF"/>
                <w:tcMar>
                  <w:top w:w="15" w:type="dxa"/>
                  <w:left w:w="0" w:type="dxa"/>
                  <w:bottom w:w="0" w:type="dxa"/>
                  <w:right w:w="15" w:type="dxa"/>
                </w:tcMar>
                <w:vAlign w:val="bottom"/>
              </w:tcPr>
              <w:p w14:paraId="1F2CEAA6"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932B81A"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49CD7019" w14:textId="77777777" w:rsidR="002606E8" w:rsidRDefault="002606E8" w:rsidP="002606E8">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695240D4"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138DE560"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5A55DFB"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7413324F" w14:textId="77777777" w:rsidR="002606E8" w:rsidRDefault="002606E8" w:rsidP="002606E8">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1F7DEF85"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3D5A8DAB"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55F9B67B"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67DA72F5" w14:textId="77777777" w:rsidR="002606E8" w:rsidRDefault="002606E8" w:rsidP="002606E8">
                <w:pPr>
                  <w:jc w:val="right"/>
                  <w:rPr>
                    <w:rFonts w:ascii="Calibri"/>
                    <w:color w:val="000000"/>
                    <w:sz w:val="20"/>
                  </w:rPr>
                </w:pPr>
                <w:r>
                  <w:rPr>
                    <w:rFonts w:ascii="Calibri"/>
                    <w:color w:val="000000"/>
                    <w:sz w:val="20"/>
                  </w:rPr>
                  <w:t>2,881,500</w:t>
                </w:r>
              </w:p>
            </w:tc>
            <w:tc>
              <w:tcPr>
                <w:tcW w:w="50" w:type="pct"/>
                <w:shd w:val="clear" w:color="auto" w:fill="FFFFFF"/>
                <w:noWrap/>
                <w:tcMar>
                  <w:top w:w="15" w:type="dxa"/>
                  <w:left w:w="0" w:type="dxa"/>
                  <w:bottom w:w="0" w:type="dxa"/>
                  <w:right w:w="15" w:type="dxa"/>
                </w:tcMar>
                <w:vAlign w:val="bottom"/>
              </w:tcPr>
              <w:p w14:paraId="42791EE2"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3BA2A3EF"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977EDE0"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FFFFFF"/>
                <w:noWrap/>
                <w:tcMar>
                  <w:top w:w="15" w:type="dxa"/>
                  <w:left w:w="0" w:type="dxa"/>
                  <w:bottom w:w="0" w:type="dxa"/>
                  <w:right w:w="15" w:type="dxa"/>
                </w:tcMar>
                <w:vAlign w:val="bottom"/>
              </w:tcPr>
              <w:p w14:paraId="38ED935A" w14:textId="77777777" w:rsidR="002606E8" w:rsidRDefault="002606E8" w:rsidP="002606E8">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0D3AA988" w14:textId="77777777" w:rsidR="002606E8" w:rsidRDefault="002606E8" w:rsidP="002606E8">
                <w:pPr>
                  <w:rPr>
                    <w:rFonts w:ascii="Calibri"/>
                    <w:color w:val="000000"/>
                    <w:sz w:val="20"/>
                  </w:rPr>
                </w:pPr>
                <w:r>
                  <w:rPr>
                    <w:rFonts w:ascii="Calibri"/>
                    <w:color w:val="000000"/>
                    <w:sz w:val="20"/>
                  </w:rPr>
                  <w:t xml:space="preserve"> </w:t>
                </w:r>
              </w:p>
            </w:tc>
          </w:tr>
          <w:tr w:rsidR="002606E8" w14:paraId="2F960EB0" w14:textId="77777777">
            <w:trPr>
              <w:cantSplit/>
              <w:jc w:val="center"/>
            </w:trPr>
            <w:tc>
              <w:tcPr>
                <w:tcW w:w="2517" w:type="pct"/>
                <w:shd w:val="clear" w:color="auto" w:fill="CFF0FC"/>
                <w:tcMar>
                  <w:top w:w="15" w:type="dxa"/>
                  <w:left w:w="0" w:type="dxa"/>
                  <w:bottom w:w="0" w:type="dxa"/>
                  <w:right w:w="15" w:type="dxa"/>
                </w:tcMar>
              </w:tcPr>
              <w:p w14:paraId="29A811A3" w14:textId="77777777" w:rsidR="002606E8" w:rsidRDefault="002606E8" w:rsidP="002606E8">
                <w:pPr>
                  <w:keepNext/>
                  <w:ind w:left="274"/>
                  <w:rPr>
                    <w:rFonts w:ascii="Calibri"/>
                    <w:color w:val="000000"/>
                    <w:sz w:val="20"/>
                  </w:rPr>
                </w:pPr>
                <w:r>
                  <w:rPr>
                    <w:rFonts w:ascii="Calibri"/>
                    <w:color w:val="000000"/>
                    <w:sz w:val="20"/>
                  </w:rPr>
                  <w:t>Other</w:t>
                </w:r>
              </w:p>
            </w:tc>
            <w:tc>
              <w:tcPr>
                <w:tcW w:w="61" w:type="pct"/>
                <w:shd w:val="clear" w:color="auto" w:fill="CFF0FC"/>
                <w:tcMar>
                  <w:top w:w="15" w:type="dxa"/>
                  <w:left w:w="0" w:type="dxa"/>
                  <w:bottom w:w="0" w:type="dxa"/>
                  <w:right w:w="15" w:type="dxa"/>
                </w:tcMar>
                <w:vAlign w:val="bottom"/>
              </w:tcPr>
              <w:p w14:paraId="2FB95123"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36A8B05"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596440D1" w14:textId="77777777" w:rsidR="002606E8" w:rsidRDefault="002606E8">
                <w:pPr>
                  <w:jc w:val="right"/>
                  <w:rPr>
                    <w:rFonts w:ascii="Calibri"/>
                    <w:color w:val="000000"/>
                    <w:sz w:val="20"/>
                  </w:rPr>
                </w:pPr>
                <w:r>
                  <w:rPr>
                    <w:rFonts w:ascii="Calibri"/>
                    <w:color w:val="000000"/>
                    <w:sz w:val="20"/>
                  </w:rPr>
                  <w:t>218,395</w:t>
                </w:r>
              </w:p>
            </w:tc>
            <w:tc>
              <w:tcPr>
                <w:tcW w:w="50" w:type="pct"/>
                <w:shd w:val="clear" w:color="auto" w:fill="CFF0FC"/>
                <w:noWrap/>
                <w:tcMar>
                  <w:top w:w="15" w:type="dxa"/>
                  <w:left w:w="0" w:type="dxa"/>
                  <w:bottom w:w="0" w:type="dxa"/>
                  <w:right w:w="15" w:type="dxa"/>
                </w:tcMar>
                <w:vAlign w:val="bottom"/>
              </w:tcPr>
              <w:p w14:paraId="76177175"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7C68860B"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0EB4D9B"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6E0D05A7" w14:textId="77777777" w:rsidR="002606E8" w:rsidRDefault="002606E8">
                <w:pPr>
                  <w:jc w:val="right"/>
                  <w:rPr>
                    <w:rFonts w:ascii="Calibri"/>
                    <w:color w:val="000000"/>
                    <w:sz w:val="20"/>
                  </w:rPr>
                </w:pPr>
                <w:r>
                  <w:rPr>
                    <w:rFonts w:ascii="Calibri"/>
                    <w:color w:val="000000"/>
                    <w:sz w:val="20"/>
                  </w:rPr>
                  <w:t>136,762</w:t>
                </w:r>
              </w:p>
            </w:tc>
            <w:tc>
              <w:tcPr>
                <w:tcW w:w="50" w:type="pct"/>
                <w:shd w:val="clear" w:color="auto" w:fill="CFF0FC"/>
                <w:noWrap/>
                <w:tcMar>
                  <w:top w:w="15" w:type="dxa"/>
                  <w:left w:w="0" w:type="dxa"/>
                  <w:bottom w:w="0" w:type="dxa"/>
                  <w:right w:w="15" w:type="dxa"/>
                </w:tcMar>
                <w:vAlign w:val="bottom"/>
              </w:tcPr>
              <w:p w14:paraId="049EC96A"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AA190CB"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33C98D0"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46BF079A" w14:textId="77777777" w:rsidR="002606E8" w:rsidRDefault="002606E8">
                <w:pPr>
                  <w:jc w:val="right"/>
                  <w:rPr>
                    <w:rFonts w:ascii="Calibri"/>
                    <w:color w:val="000000"/>
                    <w:sz w:val="20"/>
                  </w:rPr>
                </w:pPr>
                <w:r>
                  <w:rPr>
                    <w:rFonts w:ascii="Calibri"/>
                    <w:color w:val="000000"/>
                    <w:sz w:val="20"/>
                  </w:rPr>
                  <w:t>527,560</w:t>
                </w:r>
              </w:p>
            </w:tc>
            <w:tc>
              <w:tcPr>
                <w:tcW w:w="50" w:type="pct"/>
                <w:shd w:val="clear" w:color="auto" w:fill="CFF0FC"/>
                <w:noWrap/>
                <w:tcMar>
                  <w:top w:w="15" w:type="dxa"/>
                  <w:left w:w="0" w:type="dxa"/>
                  <w:bottom w:w="0" w:type="dxa"/>
                  <w:right w:w="15" w:type="dxa"/>
                </w:tcMar>
                <w:vAlign w:val="bottom"/>
              </w:tcPr>
              <w:p w14:paraId="299386F3"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1BACE741"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3306D52"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03DED249" w14:textId="77777777" w:rsidR="002606E8" w:rsidRDefault="002606E8">
                <w:pPr>
                  <w:jc w:val="right"/>
                  <w:rPr>
                    <w:rFonts w:ascii="Calibri"/>
                    <w:color w:val="000000"/>
                    <w:sz w:val="20"/>
                  </w:rPr>
                </w:pPr>
                <w:r>
                  <w:rPr>
                    <w:rFonts w:ascii="Calibri"/>
                    <w:color w:val="000000"/>
                    <w:sz w:val="20"/>
                  </w:rPr>
                  <w:t>554,078</w:t>
                </w:r>
              </w:p>
            </w:tc>
            <w:tc>
              <w:tcPr>
                <w:tcW w:w="50" w:type="pct"/>
                <w:shd w:val="clear" w:color="auto" w:fill="CFF0FC"/>
                <w:noWrap/>
                <w:tcMar>
                  <w:top w:w="15" w:type="dxa"/>
                  <w:left w:w="0" w:type="dxa"/>
                  <w:bottom w:w="0" w:type="dxa"/>
                  <w:right w:w="15" w:type="dxa"/>
                </w:tcMar>
                <w:vAlign w:val="bottom"/>
              </w:tcPr>
              <w:p w14:paraId="1635F8CA" w14:textId="77777777" w:rsidR="002606E8" w:rsidRDefault="002606E8">
                <w:pPr>
                  <w:rPr>
                    <w:rFonts w:ascii="Calibri"/>
                    <w:color w:val="000000"/>
                    <w:sz w:val="20"/>
                  </w:rPr>
                </w:pPr>
                <w:r>
                  <w:rPr>
                    <w:rFonts w:ascii="Calibri"/>
                    <w:color w:val="000000"/>
                    <w:sz w:val="20"/>
                  </w:rPr>
                  <w:t xml:space="preserve"> </w:t>
                </w:r>
              </w:p>
            </w:tc>
          </w:tr>
          <w:tr w:rsidR="002606E8" w14:paraId="421D0E6E" w14:textId="77777777">
            <w:trPr>
              <w:cantSplit/>
              <w:jc w:val="center"/>
            </w:trPr>
            <w:tc>
              <w:tcPr>
                <w:tcW w:w="2517" w:type="pct"/>
                <w:shd w:val="clear" w:color="auto" w:fill="FFFFFF"/>
                <w:tcMar>
                  <w:top w:w="15" w:type="dxa"/>
                  <w:left w:w="0" w:type="dxa"/>
                  <w:bottom w:w="0" w:type="dxa"/>
                  <w:right w:w="15" w:type="dxa"/>
                </w:tcMar>
              </w:tcPr>
              <w:p w14:paraId="2ABE3D59" w14:textId="77777777" w:rsidR="002606E8" w:rsidRDefault="002606E8" w:rsidP="002606E8">
                <w:pPr>
                  <w:keepNext/>
                  <w:ind w:left="821"/>
                  <w:rPr>
                    <w:rFonts w:ascii="Calibri"/>
                    <w:color w:val="000000"/>
                    <w:sz w:val="20"/>
                  </w:rPr>
                </w:pPr>
                <w:r>
                  <w:rPr>
                    <w:rFonts w:ascii="Calibri"/>
                    <w:color w:val="000000"/>
                    <w:sz w:val="20"/>
                  </w:rPr>
                  <w:t>Total non-interest expense</w:t>
                </w:r>
              </w:p>
            </w:tc>
            <w:tc>
              <w:tcPr>
                <w:tcW w:w="61" w:type="pct"/>
                <w:shd w:val="clear" w:color="auto" w:fill="FFFFFF"/>
                <w:tcMar>
                  <w:top w:w="15" w:type="dxa"/>
                  <w:left w:w="0" w:type="dxa"/>
                  <w:bottom w:w="0" w:type="dxa"/>
                  <w:right w:w="15" w:type="dxa"/>
                </w:tcMar>
                <w:vAlign w:val="bottom"/>
              </w:tcPr>
              <w:p w14:paraId="5F4436C7"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6F65A04"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3E8309B" w14:textId="77777777" w:rsidR="002606E8" w:rsidRDefault="002606E8">
                <w:pPr>
                  <w:jc w:val="right"/>
                  <w:rPr>
                    <w:rFonts w:ascii="Calibri"/>
                    <w:color w:val="000000"/>
                    <w:sz w:val="20"/>
                  </w:rPr>
                </w:pPr>
                <w:r>
                  <w:rPr>
                    <w:rFonts w:ascii="Calibri"/>
                    <w:color w:val="000000"/>
                    <w:sz w:val="20"/>
                  </w:rPr>
                  <w:t>2,394,020</w:t>
                </w:r>
              </w:p>
            </w:tc>
            <w:tc>
              <w:tcPr>
                <w:tcW w:w="50" w:type="pct"/>
                <w:shd w:val="clear" w:color="auto" w:fill="FFFFFF"/>
                <w:noWrap/>
                <w:tcMar>
                  <w:top w:w="15" w:type="dxa"/>
                  <w:left w:w="0" w:type="dxa"/>
                  <w:bottom w:w="0" w:type="dxa"/>
                  <w:right w:w="15" w:type="dxa"/>
                </w:tcMar>
                <w:vAlign w:val="bottom"/>
              </w:tcPr>
              <w:p w14:paraId="3D9D8C64"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601FA940"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9ACDCAF"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79AF6A6" w14:textId="77777777" w:rsidR="002606E8" w:rsidRDefault="002606E8">
                <w:pPr>
                  <w:jc w:val="right"/>
                  <w:rPr>
                    <w:rFonts w:ascii="Calibri"/>
                    <w:color w:val="000000"/>
                    <w:sz w:val="20"/>
                  </w:rPr>
                </w:pPr>
                <w:r>
                  <w:rPr>
                    <w:rFonts w:ascii="Calibri"/>
                    <w:color w:val="000000"/>
                    <w:sz w:val="20"/>
                  </w:rPr>
                  <w:t>1,938,768</w:t>
                </w:r>
              </w:p>
            </w:tc>
            <w:tc>
              <w:tcPr>
                <w:tcW w:w="50" w:type="pct"/>
                <w:shd w:val="clear" w:color="auto" w:fill="FFFFFF"/>
                <w:noWrap/>
                <w:tcMar>
                  <w:top w:w="15" w:type="dxa"/>
                  <w:left w:w="0" w:type="dxa"/>
                  <w:bottom w:w="0" w:type="dxa"/>
                  <w:right w:w="15" w:type="dxa"/>
                </w:tcMar>
                <w:vAlign w:val="bottom"/>
              </w:tcPr>
              <w:p w14:paraId="4EF5064F"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28FFF3E5"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E3C60F1"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D600C10" w14:textId="77777777" w:rsidR="002606E8" w:rsidRDefault="002606E8">
                <w:pPr>
                  <w:jc w:val="right"/>
                  <w:rPr>
                    <w:rFonts w:ascii="Calibri"/>
                    <w:color w:val="000000"/>
                    <w:sz w:val="20"/>
                  </w:rPr>
                </w:pPr>
                <w:r>
                  <w:rPr>
                    <w:rFonts w:ascii="Calibri"/>
                    <w:color w:val="000000"/>
                    <w:sz w:val="20"/>
                  </w:rPr>
                  <w:t>9,626,327</w:t>
                </w:r>
              </w:p>
            </w:tc>
            <w:tc>
              <w:tcPr>
                <w:tcW w:w="50" w:type="pct"/>
                <w:shd w:val="clear" w:color="auto" w:fill="FFFFFF"/>
                <w:noWrap/>
                <w:tcMar>
                  <w:top w:w="15" w:type="dxa"/>
                  <w:left w:w="0" w:type="dxa"/>
                  <w:bottom w:w="0" w:type="dxa"/>
                  <w:right w:w="15" w:type="dxa"/>
                </w:tcMar>
                <w:vAlign w:val="bottom"/>
              </w:tcPr>
              <w:p w14:paraId="18BBAE3D"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73180757"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BDE82BF"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24ADA31" w14:textId="77777777" w:rsidR="002606E8" w:rsidRDefault="002606E8">
                <w:pPr>
                  <w:jc w:val="right"/>
                  <w:rPr>
                    <w:rFonts w:ascii="Calibri"/>
                    <w:color w:val="000000"/>
                    <w:sz w:val="20"/>
                  </w:rPr>
                </w:pPr>
                <w:r>
                  <w:rPr>
                    <w:rFonts w:ascii="Calibri"/>
                    <w:color w:val="000000"/>
                    <w:sz w:val="20"/>
                  </w:rPr>
                  <w:t>6,559,899</w:t>
                </w:r>
              </w:p>
            </w:tc>
            <w:tc>
              <w:tcPr>
                <w:tcW w:w="50" w:type="pct"/>
                <w:shd w:val="clear" w:color="auto" w:fill="FFFFFF"/>
                <w:noWrap/>
                <w:tcMar>
                  <w:top w:w="15" w:type="dxa"/>
                  <w:left w:w="0" w:type="dxa"/>
                  <w:bottom w:w="0" w:type="dxa"/>
                  <w:right w:w="15" w:type="dxa"/>
                </w:tcMar>
                <w:vAlign w:val="bottom"/>
              </w:tcPr>
              <w:p w14:paraId="2CA14692" w14:textId="77777777" w:rsidR="002606E8" w:rsidRDefault="002606E8">
                <w:pPr>
                  <w:rPr>
                    <w:rFonts w:ascii="Calibri"/>
                    <w:color w:val="000000"/>
                    <w:sz w:val="20"/>
                  </w:rPr>
                </w:pPr>
                <w:r>
                  <w:rPr>
                    <w:rFonts w:ascii="Calibri"/>
                    <w:color w:val="000000"/>
                    <w:sz w:val="20"/>
                  </w:rPr>
                  <w:t xml:space="preserve"> </w:t>
                </w:r>
              </w:p>
            </w:tc>
          </w:tr>
          <w:tr w:rsidR="002606E8" w14:paraId="67F00CC1" w14:textId="77777777">
            <w:trPr>
              <w:cantSplit/>
              <w:jc w:val="center"/>
            </w:trPr>
            <w:tc>
              <w:tcPr>
                <w:tcW w:w="2517" w:type="pct"/>
                <w:shd w:val="clear" w:color="auto" w:fill="CFF0FC"/>
                <w:tcMar>
                  <w:top w:w="15" w:type="dxa"/>
                  <w:left w:w="0" w:type="dxa"/>
                  <w:bottom w:w="0" w:type="dxa"/>
                  <w:right w:w="15" w:type="dxa"/>
                </w:tcMar>
              </w:tcPr>
              <w:p w14:paraId="6FBF5F0F" w14:textId="77777777" w:rsidR="002606E8" w:rsidRDefault="002606E8" w:rsidP="002606E8">
                <w:pPr>
                  <w:keepNext/>
                  <w:rPr>
                    <w:rFonts w:ascii="Calibri"/>
                    <w:color w:val="000000"/>
                    <w:sz w:val="20"/>
                  </w:rPr>
                </w:pPr>
                <w:r>
                  <w:rPr>
                    <w:rFonts w:ascii="Calibri"/>
                    <w:color w:val="000000"/>
                    <w:sz w:val="20"/>
                  </w:rPr>
                  <w:t>Income (loss) before income taxes (benefit)</w:t>
                </w:r>
              </w:p>
            </w:tc>
            <w:tc>
              <w:tcPr>
                <w:tcW w:w="61" w:type="pct"/>
                <w:shd w:val="clear" w:color="auto" w:fill="CFF0FC"/>
                <w:tcMar>
                  <w:top w:w="15" w:type="dxa"/>
                  <w:left w:w="0" w:type="dxa"/>
                  <w:bottom w:w="0" w:type="dxa"/>
                  <w:right w:w="15" w:type="dxa"/>
                </w:tcMar>
                <w:vAlign w:val="bottom"/>
              </w:tcPr>
              <w:p w14:paraId="1BAEBF22"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9E7386C"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566C3C22" w14:textId="77777777" w:rsidR="002606E8" w:rsidRDefault="002606E8">
                <w:pPr>
                  <w:jc w:val="right"/>
                  <w:rPr>
                    <w:rFonts w:ascii="Calibri"/>
                    <w:color w:val="000000"/>
                    <w:sz w:val="20"/>
                  </w:rPr>
                </w:pPr>
                <w:r>
                  <w:rPr>
                    <w:rFonts w:ascii="Calibri"/>
                    <w:color w:val="000000"/>
                    <w:sz w:val="20"/>
                  </w:rPr>
                  <w:t>1,283,185</w:t>
                </w:r>
              </w:p>
            </w:tc>
            <w:tc>
              <w:tcPr>
                <w:tcW w:w="50" w:type="pct"/>
                <w:shd w:val="clear" w:color="auto" w:fill="CFF0FC"/>
                <w:noWrap/>
                <w:tcMar>
                  <w:top w:w="15" w:type="dxa"/>
                  <w:left w:w="0" w:type="dxa"/>
                  <w:bottom w:w="0" w:type="dxa"/>
                  <w:right w:w="15" w:type="dxa"/>
                </w:tcMar>
                <w:vAlign w:val="bottom"/>
              </w:tcPr>
              <w:p w14:paraId="114BC756"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232ADFB2"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ED48502"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79FF734B" w14:textId="77777777" w:rsidR="002606E8" w:rsidRDefault="002606E8">
                <w:pPr>
                  <w:jc w:val="right"/>
                  <w:rPr>
                    <w:rFonts w:ascii="Calibri"/>
                    <w:color w:val="000000"/>
                    <w:sz w:val="20"/>
                  </w:rPr>
                </w:pPr>
                <w:r>
                  <w:rPr>
                    <w:rFonts w:ascii="Calibri"/>
                    <w:color w:val="000000"/>
                    <w:sz w:val="20"/>
                  </w:rPr>
                  <w:t>944,221</w:t>
                </w:r>
              </w:p>
            </w:tc>
            <w:tc>
              <w:tcPr>
                <w:tcW w:w="50" w:type="pct"/>
                <w:shd w:val="clear" w:color="auto" w:fill="CFF0FC"/>
                <w:noWrap/>
                <w:tcMar>
                  <w:top w:w="15" w:type="dxa"/>
                  <w:left w:w="0" w:type="dxa"/>
                  <w:bottom w:w="0" w:type="dxa"/>
                  <w:right w:w="15" w:type="dxa"/>
                </w:tcMar>
                <w:vAlign w:val="bottom"/>
              </w:tcPr>
              <w:p w14:paraId="57F6EEB8"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730E708"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A1BDDBE"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4A16B8EF" w14:textId="77777777" w:rsidR="002606E8" w:rsidRDefault="002606E8">
                <w:pPr>
                  <w:jc w:val="right"/>
                  <w:rPr>
                    <w:rFonts w:ascii="Calibri"/>
                    <w:color w:val="000000"/>
                    <w:sz w:val="20"/>
                  </w:rPr>
                </w:pPr>
                <w:r>
                  <w:rPr>
                    <w:rFonts w:ascii="Calibri"/>
                    <w:color w:val="000000"/>
                    <w:sz w:val="20"/>
                  </w:rPr>
                  <w:t>1,059,686</w:t>
                </w:r>
              </w:p>
            </w:tc>
            <w:tc>
              <w:tcPr>
                <w:tcW w:w="50" w:type="pct"/>
                <w:shd w:val="clear" w:color="auto" w:fill="CFF0FC"/>
                <w:noWrap/>
                <w:tcMar>
                  <w:top w:w="15" w:type="dxa"/>
                  <w:left w:w="0" w:type="dxa"/>
                  <w:bottom w:w="0" w:type="dxa"/>
                  <w:right w:w="15" w:type="dxa"/>
                </w:tcMar>
                <w:vAlign w:val="bottom"/>
              </w:tcPr>
              <w:p w14:paraId="64C18CC7"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704293F8"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5337D97" w14:textId="77777777" w:rsidR="002606E8" w:rsidRDefault="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6365E44B" w14:textId="77777777" w:rsidR="002606E8" w:rsidRDefault="002606E8">
                <w:pPr>
                  <w:jc w:val="right"/>
                  <w:rPr>
                    <w:rFonts w:ascii="Calibri"/>
                    <w:color w:val="000000"/>
                    <w:sz w:val="20"/>
                  </w:rPr>
                </w:pPr>
                <w:r>
                  <w:rPr>
                    <w:rFonts w:ascii="Calibri"/>
                    <w:color w:val="000000"/>
                    <w:sz w:val="20"/>
                  </w:rPr>
                  <w:t>2,199,470</w:t>
                </w:r>
              </w:p>
            </w:tc>
            <w:tc>
              <w:tcPr>
                <w:tcW w:w="50" w:type="pct"/>
                <w:shd w:val="clear" w:color="auto" w:fill="CFF0FC"/>
                <w:noWrap/>
                <w:tcMar>
                  <w:top w:w="15" w:type="dxa"/>
                  <w:left w:w="0" w:type="dxa"/>
                  <w:bottom w:w="0" w:type="dxa"/>
                  <w:right w:w="15" w:type="dxa"/>
                </w:tcMar>
                <w:vAlign w:val="bottom"/>
              </w:tcPr>
              <w:p w14:paraId="56F3F44D" w14:textId="77777777" w:rsidR="002606E8" w:rsidRDefault="002606E8">
                <w:pPr>
                  <w:rPr>
                    <w:rFonts w:ascii="Calibri"/>
                    <w:color w:val="000000"/>
                    <w:sz w:val="20"/>
                  </w:rPr>
                </w:pPr>
                <w:r>
                  <w:rPr>
                    <w:rFonts w:ascii="Calibri"/>
                    <w:color w:val="000000"/>
                    <w:sz w:val="20"/>
                  </w:rPr>
                  <w:t xml:space="preserve"> </w:t>
                </w:r>
              </w:p>
            </w:tc>
          </w:tr>
          <w:tr w:rsidR="002606E8" w14:paraId="410A7169" w14:textId="77777777">
            <w:trPr>
              <w:cantSplit/>
              <w:jc w:val="center"/>
            </w:trPr>
            <w:tc>
              <w:tcPr>
                <w:tcW w:w="2517" w:type="pct"/>
                <w:shd w:val="clear" w:color="auto" w:fill="FFFFFF"/>
                <w:tcMar>
                  <w:top w:w="15" w:type="dxa"/>
                  <w:left w:w="0" w:type="dxa"/>
                  <w:bottom w:w="0" w:type="dxa"/>
                  <w:right w:w="15" w:type="dxa"/>
                </w:tcMar>
              </w:tcPr>
              <w:p w14:paraId="7F263FB2" w14:textId="77777777" w:rsidR="002606E8" w:rsidRDefault="002606E8" w:rsidP="002606E8">
                <w:pPr>
                  <w:keepNext/>
                  <w:rPr>
                    <w:rFonts w:ascii="Calibri"/>
                    <w:color w:val="000000"/>
                    <w:sz w:val="20"/>
                  </w:rPr>
                </w:pPr>
                <w:r>
                  <w:rPr>
                    <w:rFonts w:ascii="Calibri"/>
                    <w:color w:val="000000"/>
                    <w:sz w:val="20"/>
                  </w:rPr>
                  <w:t>Income tax expense (benefit)</w:t>
                </w:r>
              </w:p>
            </w:tc>
            <w:tc>
              <w:tcPr>
                <w:tcW w:w="61" w:type="pct"/>
                <w:shd w:val="clear" w:color="auto" w:fill="FFFFFF"/>
                <w:tcMar>
                  <w:top w:w="15" w:type="dxa"/>
                  <w:left w:w="0" w:type="dxa"/>
                  <w:bottom w:w="0" w:type="dxa"/>
                  <w:right w:w="15" w:type="dxa"/>
                </w:tcMar>
                <w:vAlign w:val="bottom"/>
              </w:tcPr>
              <w:p w14:paraId="79668BF8"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E14901E"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25E9C5D0" w14:textId="77777777" w:rsidR="002606E8" w:rsidRDefault="002606E8">
                <w:pPr>
                  <w:jc w:val="right"/>
                  <w:rPr>
                    <w:rFonts w:ascii="Calibri"/>
                    <w:color w:val="000000"/>
                    <w:sz w:val="20"/>
                  </w:rPr>
                </w:pPr>
                <w:r>
                  <w:rPr>
                    <w:rFonts w:ascii="Calibri"/>
                    <w:color w:val="000000"/>
                    <w:sz w:val="20"/>
                  </w:rPr>
                  <w:t>326,769</w:t>
                </w:r>
              </w:p>
            </w:tc>
            <w:tc>
              <w:tcPr>
                <w:tcW w:w="50" w:type="pct"/>
                <w:shd w:val="clear" w:color="auto" w:fill="FFFFFF"/>
                <w:noWrap/>
                <w:tcMar>
                  <w:top w:w="15" w:type="dxa"/>
                  <w:left w:w="0" w:type="dxa"/>
                  <w:bottom w:w="0" w:type="dxa"/>
                  <w:right w:w="15" w:type="dxa"/>
                </w:tcMar>
                <w:vAlign w:val="bottom"/>
              </w:tcPr>
              <w:p w14:paraId="14567A3B"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549BEFB7"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D4827DA"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542DD75F" w14:textId="77777777" w:rsidR="002606E8" w:rsidRDefault="002606E8">
                <w:pPr>
                  <w:jc w:val="right"/>
                  <w:rPr>
                    <w:rFonts w:ascii="Calibri"/>
                    <w:color w:val="000000"/>
                    <w:sz w:val="20"/>
                  </w:rPr>
                </w:pPr>
                <w:r>
                  <w:rPr>
                    <w:rFonts w:ascii="Calibri"/>
                    <w:color w:val="000000"/>
                    <w:sz w:val="20"/>
                  </w:rPr>
                  <w:t>273,207</w:t>
                </w:r>
              </w:p>
            </w:tc>
            <w:tc>
              <w:tcPr>
                <w:tcW w:w="50" w:type="pct"/>
                <w:shd w:val="clear" w:color="auto" w:fill="FFFFFF"/>
                <w:noWrap/>
                <w:tcMar>
                  <w:top w:w="15" w:type="dxa"/>
                  <w:left w:w="0" w:type="dxa"/>
                  <w:bottom w:w="0" w:type="dxa"/>
                  <w:right w:w="15" w:type="dxa"/>
                </w:tcMar>
                <w:vAlign w:val="bottom"/>
              </w:tcPr>
              <w:p w14:paraId="7DAC370B"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52C8918A"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3842E60"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30F41183" w14:textId="77777777" w:rsidR="002606E8" w:rsidRDefault="002606E8">
                <w:pPr>
                  <w:jc w:val="right"/>
                  <w:rPr>
                    <w:rFonts w:ascii="Calibri"/>
                    <w:color w:val="000000"/>
                    <w:sz w:val="20"/>
                  </w:rPr>
                </w:pPr>
                <w:r>
                  <w:rPr>
                    <w:rFonts w:ascii="Calibri"/>
                    <w:color w:val="000000"/>
                    <w:sz w:val="20"/>
                  </w:rPr>
                  <w:t>37,781</w:t>
                </w:r>
              </w:p>
            </w:tc>
            <w:tc>
              <w:tcPr>
                <w:tcW w:w="50" w:type="pct"/>
                <w:shd w:val="clear" w:color="auto" w:fill="FFFFFF"/>
                <w:noWrap/>
                <w:tcMar>
                  <w:top w:w="15" w:type="dxa"/>
                  <w:left w:w="0" w:type="dxa"/>
                  <w:bottom w:w="0" w:type="dxa"/>
                  <w:right w:w="15" w:type="dxa"/>
                </w:tcMar>
                <w:vAlign w:val="bottom"/>
              </w:tcPr>
              <w:p w14:paraId="1E509327"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1429FA5D"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976884B" w14:textId="77777777" w:rsidR="002606E8" w:rsidRDefault="002606E8">
                <w:pPr>
                  <w:rPr>
                    <w:rFonts w:ascii="Calibri"/>
                    <w:color w:val="000000"/>
                    <w:sz w:val="20"/>
                  </w:rPr>
                </w:pPr>
                <w:r>
                  <w:rPr>
                    <w:rFonts w:ascii="Calibri"/>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43577C2A" w14:textId="77777777" w:rsidR="002606E8" w:rsidRDefault="002606E8">
                <w:pPr>
                  <w:jc w:val="right"/>
                  <w:rPr>
                    <w:rFonts w:ascii="Calibri"/>
                    <w:color w:val="000000"/>
                    <w:sz w:val="20"/>
                  </w:rPr>
                </w:pPr>
                <w:r>
                  <w:rPr>
                    <w:rFonts w:ascii="Calibri"/>
                    <w:color w:val="000000"/>
                    <w:sz w:val="20"/>
                  </w:rPr>
                  <w:t>558,367</w:t>
                </w:r>
              </w:p>
            </w:tc>
            <w:tc>
              <w:tcPr>
                <w:tcW w:w="50" w:type="pct"/>
                <w:shd w:val="clear" w:color="auto" w:fill="FFFFFF"/>
                <w:noWrap/>
                <w:tcMar>
                  <w:top w:w="15" w:type="dxa"/>
                  <w:left w:w="0" w:type="dxa"/>
                  <w:bottom w:w="0" w:type="dxa"/>
                  <w:right w:w="15" w:type="dxa"/>
                </w:tcMar>
                <w:vAlign w:val="bottom"/>
              </w:tcPr>
              <w:p w14:paraId="0E4325B6" w14:textId="77777777" w:rsidR="002606E8" w:rsidRDefault="002606E8">
                <w:pPr>
                  <w:rPr>
                    <w:rFonts w:ascii="Calibri"/>
                    <w:color w:val="000000"/>
                    <w:sz w:val="20"/>
                  </w:rPr>
                </w:pPr>
                <w:r>
                  <w:rPr>
                    <w:rFonts w:ascii="Calibri"/>
                    <w:color w:val="000000"/>
                    <w:sz w:val="20"/>
                  </w:rPr>
                  <w:t xml:space="preserve"> </w:t>
                </w:r>
              </w:p>
            </w:tc>
          </w:tr>
          <w:tr w:rsidR="002606E8" w14:paraId="6E636A12" w14:textId="77777777">
            <w:trPr>
              <w:cantSplit/>
              <w:jc w:val="center"/>
            </w:trPr>
            <w:tc>
              <w:tcPr>
                <w:tcW w:w="2517" w:type="pct"/>
                <w:shd w:val="clear" w:color="auto" w:fill="CFF0FC"/>
                <w:tcMar>
                  <w:top w:w="15" w:type="dxa"/>
                  <w:left w:w="0" w:type="dxa"/>
                  <w:bottom w:w="0" w:type="dxa"/>
                  <w:right w:w="15" w:type="dxa"/>
                </w:tcMar>
              </w:tcPr>
              <w:p w14:paraId="48ADAF1F" w14:textId="77777777" w:rsidR="002606E8" w:rsidRDefault="002606E8" w:rsidP="002606E8">
                <w:pPr>
                  <w:keepNext/>
                  <w:rPr>
                    <w:rFonts w:ascii="Calibri"/>
                    <w:color w:val="000000"/>
                    <w:sz w:val="20"/>
                  </w:rPr>
                </w:pPr>
                <w:r>
                  <w:rPr>
                    <w:rFonts w:ascii="Calibri"/>
                    <w:color w:val="000000"/>
                    <w:sz w:val="20"/>
                  </w:rPr>
                  <w:t>Net income</w:t>
                </w:r>
              </w:p>
            </w:tc>
            <w:tc>
              <w:tcPr>
                <w:tcW w:w="61" w:type="pct"/>
                <w:shd w:val="clear" w:color="auto" w:fill="CFF0FC"/>
                <w:tcMar>
                  <w:top w:w="15" w:type="dxa"/>
                  <w:left w:w="0" w:type="dxa"/>
                  <w:bottom w:w="0" w:type="dxa"/>
                  <w:right w:w="15" w:type="dxa"/>
                </w:tcMar>
                <w:vAlign w:val="bottom"/>
              </w:tcPr>
              <w:p w14:paraId="4A241A45"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6109305" w14:textId="77777777" w:rsidR="002606E8" w:rsidRDefault="002606E8">
                <w:pPr>
                  <w:rPr>
                    <w:rFonts w:ascii="Calibri"/>
                    <w:color w:val="000000"/>
                    <w:sz w:val="20"/>
                  </w:rPr>
                </w:pPr>
                <w:r>
                  <w:rPr>
                    <w:rFonts w:ascii="Calibri"/>
                    <w:color w:val="000000"/>
                    <w:sz w:val="20"/>
                  </w:rPr>
                  <w:t>$</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4E50B5F" w14:textId="77777777" w:rsidR="002606E8" w:rsidRDefault="002606E8">
                <w:pPr>
                  <w:jc w:val="right"/>
                  <w:rPr>
                    <w:rFonts w:ascii="Calibri"/>
                    <w:color w:val="000000"/>
                    <w:sz w:val="20"/>
                  </w:rPr>
                </w:pPr>
                <w:r>
                  <w:rPr>
                    <w:rFonts w:ascii="Calibri"/>
                    <w:color w:val="000000"/>
                    <w:sz w:val="20"/>
                  </w:rPr>
                  <w:t>956,416</w:t>
                </w:r>
              </w:p>
            </w:tc>
            <w:tc>
              <w:tcPr>
                <w:tcW w:w="50" w:type="pct"/>
                <w:shd w:val="clear" w:color="auto" w:fill="CFF0FC"/>
                <w:noWrap/>
                <w:tcMar>
                  <w:top w:w="15" w:type="dxa"/>
                  <w:left w:w="0" w:type="dxa"/>
                  <w:bottom w:w="0" w:type="dxa"/>
                  <w:right w:w="15" w:type="dxa"/>
                </w:tcMar>
                <w:vAlign w:val="bottom"/>
              </w:tcPr>
              <w:p w14:paraId="01F20C37"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DCB3F25"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9424BE1" w14:textId="77777777" w:rsidR="002606E8" w:rsidRDefault="002606E8">
                <w:pPr>
                  <w:rPr>
                    <w:rFonts w:ascii="Calibri"/>
                    <w:color w:val="000000"/>
                    <w:sz w:val="20"/>
                  </w:rPr>
                </w:pPr>
                <w:r>
                  <w:rPr>
                    <w:rFonts w:ascii="Calibri"/>
                    <w:color w:val="000000"/>
                    <w:sz w:val="20"/>
                  </w:rPr>
                  <w:t>$</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F65D4A0" w14:textId="77777777" w:rsidR="002606E8" w:rsidRDefault="002606E8">
                <w:pPr>
                  <w:jc w:val="right"/>
                  <w:rPr>
                    <w:rFonts w:ascii="Calibri"/>
                    <w:color w:val="000000"/>
                    <w:sz w:val="20"/>
                  </w:rPr>
                </w:pPr>
                <w:r>
                  <w:rPr>
                    <w:rFonts w:ascii="Calibri"/>
                    <w:color w:val="000000"/>
                    <w:sz w:val="20"/>
                  </w:rPr>
                  <w:t>671,014</w:t>
                </w:r>
              </w:p>
            </w:tc>
            <w:tc>
              <w:tcPr>
                <w:tcW w:w="50" w:type="pct"/>
                <w:shd w:val="clear" w:color="auto" w:fill="CFF0FC"/>
                <w:noWrap/>
                <w:tcMar>
                  <w:top w:w="15" w:type="dxa"/>
                  <w:left w:w="0" w:type="dxa"/>
                  <w:bottom w:w="0" w:type="dxa"/>
                  <w:right w:w="15" w:type="dxa"/>
                </w:tcMar>
                <w:vAlign w:val="bottom"/>
              </w:tcPr>
              <w:p w14:paraId="409AC874"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D08EB2D"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A32D971" w14:textId="77777777" w:rsidR="002606E8" w:rsidRDefault="002606E8">
                <w:pPr>
                  <w:rPr>
                    <w:rFonts w:ascii="Calibri"/>
                    <w:color w:val="000000"/>
                    <w:sz w:val="20"/>
                  </w:rPr>
                </w:pPr>
                <w:r>
                  <w:rPr>
                    <w:rFonts w:ascii="Calibri"/>
                    <w:color w:val="000000"/>
                    <w:sz w:val="20"/>
                  </w:rPr>
                  <w:t>$</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BCC9173" w14:textId="77777777" w:rsidR="002606E8" w:rsidRDefault="002606E8">
                <w:pPr>
                  <w:jc w:val="right"/>
                  <w:rPr>
                    <w:rFonts w:ascii="Calibri"/>
                    <w:color w:val="000000"/>
                    <w:sz w:val="20"/>
                  </w:rPr>
                </w:pPr>
                <w:r>
                  <w:rPr>
                    <w:rFonts w:ascii="Calibri"/>
                    <w:color w:val="000000"/>
                    <w:sz w:val="20"/>
                  </w:rPr>
                  <w:t>1,021,905</w:t>
                </w:r>
              </w:p>
            </w:tc>
            <w:tc>
              <w:tcPr>
                <w:tcW w:w="50" w:type="pct"/>
                <w:shd w:val="clear" w:color="auto" w:fill="CFF0FC"/>
                <w:noWrap/>
                <w:tcMar>
                  <w:top w:w="15" w:type="dxa"/>
                  <w:left w:w="0" w:type="dxa"/>
                  <w:bottom w:w="0" w:type="dxa"/>
                  <w:right w:w="15" w:type="dxa"/>
                </w:tcMar>
                <w:vAlign w:val="bottom"/>
              </w:tcPr>
              <w:p w14:paraId="71F4DAF7"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9812F0A" w14:textId="77777777" w:rsidR="002606E8" w:rsidRDefault="002606E8" w:rsidP="002606E8">
                <w:pPr>
                  <w:rPr>
                    <w:rFonts w:ascii="Calibri"/>
                    <w:color w:val="000000"/>
                    <w:sz w:val="20"/>
                  </w:rPr>
                </w:pPr>
                <w:r>
                  <w:rPr>
                    <w:rFonts w:ascii="Calibri"/>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BF66F78" w14:textId="77777777" w:rsidR="002606E8" w:rsidRDefault="002606E8">
                <w:pPr>
                  <w:rPr>
                    <w:rFonts w:ascii="Calibri"/>
                    <w:color w:val="000000"/>
                    <w:sz w:val="20"/>
                  </w:rPr>
                </w:pPr>
                <w:r>
                  <w:rPr>
                    <w:rFonts w:ascii="Calibri"/>
                    <w:color w:val="000000"/>
                    <w:sz w:val="20"/>
                  </w:rPr>
                  <w:t>$</w:t>
                </w:r>
              </w:p>
            </w:tc>
            <w:tc>
              <w:tcPr>
                <w:tcW w:w="459"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81F2A75" w14:textId="77777777" w:rsidR="002606E8" w:rsidRDefault="002606E8">
                <w:pPr>
                  <w:jc w:val="right"/>
                  <w:rPr>
                    <w:rFonts w:ascii="Calibri"/>
                    <w:color w:val="000000"/>
                    <w:sz w:val="20"/>
                  </w:rPr>
                </w:pPr>
                <w:r>
                  <w:rPr>
                    <w:rFonts w:ascii="Calibri"/>
                    <w:color w:val="000000"/>
                    <w:sz w:val="20"/>
                  </w:rPr>
                  <w:t>1,641,103</w:t>
                </w:r>
              </w:p>
            </w:tc>
            <w:tc>
              <w:tcPr>
                <w:tcW w:w="50" w:type="pct"/>
                <w:shd w:val="clear" w:color="auto" w:fill="CFF0FC"/>
                <w:noWrap/>
                <w:tcMar>
                  <w:top w:w="15" w:type="dxa"/>
                  <w:left w:w="0" w:type="dxa"/>
                  <w:bottom w:w="0" w:type="dxa"/>
                  <w:right w:w="15" w:type="dxa"/>
                </w:tcMar>
                <w:vAlign w:val="bottom"/>
              </w:tcPr>
              <w:p w14:paraId="6EAC9880" w14:textId="77777777" w:rsidR="002606E8" w:rsidRDefault="002606E8">
                <w:pPr>
                  <w:rPr>
                    <w:rFonts w:ascii="Calibri"/>
                    <w:color w:val="000000"/>
                    <w:sz w:val="20"/>
                  </w:rPr>
                </w:pPr>
                <w:r>
                  <w:rPr>
                    <w:rFonts w:ascii="Calibri"/>
                    <w:color w:val="000000"/>
                    <w:sz w:val="20"/>
                  </w:rPr>
                  <w:t xml:space="preserve"> </w:t>
                </w:r>
              </w:p>
            </w:tc>
          </w:tr>
          <w:tr w:rsidR="002606E8" w14:paraId="4AB56FB3" w14:textId="77777777">
            <w:trPr>
              <w:cantSplit/>
              <w:jc w:val="center"/>
            </w:trPr>
            <w:tc>
              <w:tcPr>
                <w:tcW w:w="2517" w:type="pct"/>
                <w:shd w:val="clear" w:color="auto" w:fill="FFFFFF"/>
                <w:tcMar>
                  <w:top w:w="15" w:type="dxa"/>
                  <w:left w:w="0" w:type="dxa"/>
                  <w:bottom w:w="0" w:type="dxa"/>
                  <w:right w:w="15" w:type="dxa"/>
                </w:tcMar>
              </w:tcPr>
              <w:p w14:paraId="76E9333D" w14:textId="77777777" w:rsidR="002606E8" w:rsidRDefault="002606E8" w:rsidP="002606E8">
                <w:pPr>
                  <w:keepNext/>
                  <w:rPr>
                    <w:rFonts w:ascii="Calibri"/>
                    <w:color w:val="000000"/>
                    <w:sz w:val="20"/>
                  </w:rPr>
                </w:pPr>
                <w:r>
                  <w:rPr>
                    <w:rFonts w:ascii="Calibri"/>
                    <w:color w:val="000000"/>
                    <w:sz w:val="20"/>
                  </w:rPr>
                  <w:t>Earnings per Share</w:t>
                </w:r>
              </w:p>
            </w:tc>
            <w:tc>
              <w:tcPr>
                <w:tcW w:w="61" w:type="pct"/>
                <w:shd w:val="clear" w:color="auto" w:fill="FFFFFF"/>
                <w:tcMar>
                  <w:top w:w="15" w:type="dxa"/>
                  <w:left w:w="0" w:type="dxa"/>
                  <w:bottom w:w="0" w:type="dxa"/>
                  <w:right w:w="15" w:type="dxa"/>
                </w:tcMar>
                <w:vAlign w:val="bottom"/>
              </w:tcPr>
              <w:p w14:paraId="6B5FB15B" w14:textId="77777777" w:rsidR="002606E8" w:rsidRDefault="002606E8" w:rsidP="002606E8">
                <w:pPr>
                  <w:rPr>
                    <w:rFonts w:ascii="Calibri"/>
                    <w:color w:val="000000"/>
                  </w:rPr>
                </w:pPr>
                <w:r>
                  <w:rPr>
                    <w:rFonts w:ascii="Calibri"/>
                    <w:color w:val="00000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123D62F" w14:textId="77777777" w:rsidR="002606E8" w:rsidRDefault="002606E8">
                <w:pPr>
                  <w:rPr>
                    <w:rFonts w:ascii="Calibri"/>
                    <w:color w:val="000000"/>
                    <w:sz w:val="20"/>
                  </w:rPr>
                </w:pPr>
                <w:r>
                  <w:rPr>
                    <w:rFonts w:ascii="Calibri"/>
                    <w:color w:val="000000"/>
                    <w:sz w:val="20"/>
                  </w:rPr>
                  <w:t>$</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66DCB917" w14:textId="77777777" w:rsidR="002606E8" w:rsidRDefault="002606E8">
                <w:pPr>
                  <w:jc w:val="right"/>
                  <w:rPr>
                    <w:rFonts w:ascii="Calibri"/>
                    <w:color w:val="000000"/>
                    <w:sz w:val="20"/>
                  </w:rPr>
                </w:pPr>
                <w:r>
                  <w:rPr>
                    <w:rFonts w:ascii="Calibri"/>
                    <w:color w:val="000000"/>
                    <w:sz w:val="20"/>
                  </w:rPr>
                  <w:t>0.08</w:t>
                </w:r>
              </w:p>
            </w:tc>
            <w:tc>
              <w:tcPr>
                <w:tcW w:w="50" w:type="pct"/>
                <w:shd w:val="clear" w:color="auto" w:fill="FFFFFF"/>
                <w:noWrap/>
                <w:tcMar>
                  <w:top w:w="15" w:type="dxa"/>
                  <w:left w:w="0" w:type="dxa"/>
                  <w:bottom w:w="0" w:type="dxa"/>
                  <w:right w:w="15" w:type="dxa"/>
                </w:tcMar>
                <w:vAlign w:val="bottom"/>
              </w:tcPr>
              <w:p w14:paraId="3CB59666"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1D57A83D" w14:textId="77777777" w:rsidR="002606E8" w:rsidRDefault="002606E8" w:rsidP="002606E8">
                <w:pPr>
                  <w:rPr>
                    <w:rFonts w:ascii="Calibri"/>
                    <w:color w:val="000000"/>
                  </w:rPr>
                </w:pPr>
                <w:r>
                  <w:rPr>
                    <w:rFonts w:ascii="Calibri"/>
                    <w:color w:val="00000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6DDF630"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4C3A7AF6" w14:textId="77777777" w:rsidR="002606E8" w:rsidRDefault="002606E8" w:rsidP="002606E8">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7A8BFBF1"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674D3ED0" w14:textId="77777777" w:rsidR="002606E8" w:rsidRDefault="002606E8" w:rsidP="002606E8">
                <w:pPr>
                  <w:rPr>
                    <w:rFonts w:ascii="Calibri"/>
                    <w:color w:val="000000"/>
                  </w:rPr>
                </w:pPr>
                <w:r>
                  <w:rPr>
                    <w:rFonts w:ascii="Calibri"/>
                    <w:color w:val="00000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96FB1EB" w14:textId="77777777" w:rsidR="002606E8" w:rsidRDefault="002606E8">
                <w:pPr>
                  <w:rPr>
                    <w:rFonts w:ascii="Calibri"/>
                    <w:color w:val="000000"/>
                    <w:sz w:val="20"/>
                  </w:rPr>
                </w:pPr>
                <w:r>
                  <w:rPr>
                    <w:rFonts w:ascii="Calibri"/>
                    <w:color w:val="000000"/>
                    <w:sz w:val="20"/>
                  </w:rPr>
                  <w:t>$</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6D093D9D" w14:textId="77777777" w:rsidR="002606E8" w:rsidRDefault="002606E8">
                <w:pPr>
                  <w:jc w:val="right"/>
                  <w:rPr>
                    <w:rFonts w:ascii="Calibri"/>
                    <w:color w:val="000000"/>
                    <w:sz w:val="20"/>
                  </w:rPr>
                </w:pPr>
                <w:r>
                  <w:rPr>
                    <w:rFonts w:ascii="Calibri"/>
                    <w:color w:val="000000"/>
                    <w:sz w:val="20"/>
                  </w:rPr>
                  <w:t>0.09</w:t>
                </w:r>
              </w:p>
            </w:tc>
            <w:tc>
              <w:tcPr>
                <w:tcW w:w="50" w:type="pct"/>
                <w:shd w:val="clear" w:color="auto" w:fill="FFFFFF"/>
                <w:noWrap/>
                <w:tcMar>
                  <w:top w:w="15" w:type="dxa"/>
                  <w:left w:w="0" w:type="dxa"/>
                  <w:bottom w:w="0" w:type="dxa"/>
                  <w:right w:w="15" w:type="dxa"/>
                </w:tcMar>
                <w:vAlign w:val="bottom"/>
              </w:tcPr>
              <w:p w14:paraId="168DA78C"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536174E8" w14:textId="77777777" w:rsidR="002606E8" w:rsidRDefault="002606E8" w:rsidP="002606E8">
                <w:pPr>
                  <w:rPr>
                    <w:rFonts w:ascii="Calibri"/>
                    <w:color w:val="000000"/>
                  </w:rPr>
                </w:pPr>
                <w:r>
                  <w:rPr>
                    <w:rFonts w:ascii="Calibri"/>
                    <w:color w:val="00000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CCEDA52" w14:textId="77777777" w:rsidR="002606E8" w:rsidRDefault="002606E8" w:rsidP="002606E8">
                <w:pPr>
                  <w:rPr>
                    <w:rFonts w:ascii="Calibri"/>
                    <w:color w:val="000000"/>
                    <w:sz w:val="20"/>
                  </w:rPr>
                </w:pPr>
                <w:r>
                  <w:rPr>
                    <w:rFonts w:ascii="Calibri"/>
                    <w:color w:val="000000"/>
                    <w:sz w:val="20"/>
                  </w:rPr>
                  <w:t xml:space="preserve"> </w:t>
                </w:r>
              </w:p>
            </w:tc>
            <w:tc>
              <w:tcPr>
                <w:tcW w:w="459" w:type="pct"/>
                <w:tcBorders>
                  <w:top w:val="single" w:sz="2" w:space="0" w:color="000000"/>
                </w:tcBorders>
                <w:shd w:val="clear" w:color="auto" w:fill="FFFFFF"/>
                <w:noWrap/>
                <w:tcMar>
                  <w:top w:w="15" w:type="dxa"/>
                  <w:left w:w="0" w:type="dxa"/>
                  <w:bottom w:w="0" w:type="dxa"/>
                  <w:right w:w="15" w:type="dxa"/>
                </w:tcMar>
                <w:vAlign w:val="bottom"/>
              </w:tcPr>
              <w:p w14:paraId="069A672A" w14:textId="77777777" w:rsidR="002606E8" w:rsidRDefault="002606E8" w:rsidP="002606E8">
                <w:pPr>
                  <w:jc w:val="right"/>
                  <w:rPr>
                    <w:rFonts w:ascii="Calibri"/>
                    <w:color w:val="000000"/>
                    <w:sz w:val="20"/>
                  </w:rPr>
                </w:pPr>
                <w:r>
                  <w:rPr>
                    <w:rFonts w:ascii="Calibri"/>
                    <w:color w:val="000000"/>
                    <w:sz w:val="20"/>
                  </w:rPr>
                  <w:t>—</w:t>
                </w:r>
              </w:p>
            </w:tc>
            <w:tc>
              <w:tcPr>
                <w:tcW w:w="50" w:type="pct"/>
                <w:shd w:val="clear" w:color="auto" w:fill="FFFFFF"/>
                <w:noWrap/>
                <w:tcMar>
                  <w:top w:w="15" w:type="dxa"/>
                  <w:left w:w="0" w:type="dxa"/>
                  <w:bottom w:w="0" w:type="dxa"/>
                  <w:right w:w="15" w:type="dxa"/>
                </w:tcMar>
                <w:vAlign w:val="bottom"/>
              </w:tcPr>
              <w:p w14:paraId="6C7474E5" w14:textId="77777777" w:rsidR="002606E8" w:rsidRDefault="002606E8" w:rsidP="002606E8">
                <w:pPr>
                  <w:rPr>
                    <w:rFonts w:ascii="Calibri"/>
                    <w:color w:val="000000"/>
                    <w:sz w:val="20"/>
                  </w:rPr>
                </w:pPr>
                <w:r>
                  <w:rPr>
                    <w:rFonts w:ascii="Calibri"/>
                    <w:color w:val="000000"/>
                    <w:sz w:val="20"/>
                  </w:rPr>
                  <w:t xml:space="preserve"> </w:t>
                </w:r>
              </w:p>
            </w:tc>
          </w:tr>
          <w:tr w:rsidR="002606E8" w14:paraId="752AB375" w14:textId="77777777">
            <w:trPr>
              <w:cantSplit/>
              <w:jc w:val="center"/>
            </w:trPr>
            <w:tc>
              <w:tcPr>
                <w:tcW w:w="2517" w:type="pct"/>
                <w:shd w:val="clear" w:color="auto" w:fill="CFF0FC"/>
                <w:tcMar>
                  <w:top w:w="15" w:type="dxa"/>
                  <w:left w:w="0" w:type="dxa"/>
                  <w:bottom w:w="0" w:type="dxa"/>
                  <w:right w:w="15" w:type="dxa"/>
                </w:tcMar>
              </w:tcPr>
              <w:p w14:paraId="29268933" w14:textId="77777777" w:rsidR="002606E8" w:rsidRDefault="002606E8" w:rsidP="002606E8">
                <w:pPr>
                  <w:rPr>
                    <w:rFonts w:ascii="Calibri"/>
                    <w:color w:val="000000"/>
                    <w:sz w:val="20"/>
                  </w:rPr>
                </w:pPr>
                <w:r>
                  <w:rPr>
                    <w:rFonts w:ascii="Calibri"/>
                    <w:color w:val="000000"/>
                    <w:sz w:val="20"/>
                  </w:rPr>
                  <w:t>Weighted average shares outstanding</w:t>
                </w:r>
              </w:p>
            </w:tc>
            <w:tc>
              <w:tcPr>
                <w:tcW w:w="61" w:type="pct"/>
                <w:shd w:val="clear" w:color="auto" w:fill="CFF0FC"/>
                <w:tcMar>
                  <w:top w:w="15" w:type="dxa"/>
                  <w:left w:w="0" w:type="dxa"/>
                  <w:bottom w:w="0" w:type="dxa"/>
                  <w:right w:w="15" w:type="dxa"/>
                </w:tcMar>
                <w:vAlign w:val="bottom"/>
              </w:tcPr>
              <w:p w14:paraId="466A4085"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53A03BB"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4DAE1FD5" w14:textId="77777777" w:rsidR="002606E8" w:rsidRDefault="002606E8">
                <w:pPr>
                  <w:jc w:val="right"/>
                  <w:rPr>
                    <w:rFonts w:ascii="Calibri"/>
                    <w:color w:val="000000"/>
                    <w:sz w:val="20"/>
                  </w:rPr>
                </w:pPr>
                <w:r>
                  <w:rPr>
                    <w:rFonts w:ascii="Calibri"/>
                    <w:color w:val="000000"/>
                    <w:sz w:val="20"/>
                  </w:rPr>
                  <w:t>12,657,453</w:t>
                </w:r>
              </w:p>
            </w:tc>
            <w:tc>
              <w:tcPr>
                <w:tcW w:w="50" w:type="pct"/>
                <w:shd w:val="clear" w:color="auto" w:fill="CFF0FC"/>
                <w:noWrap/>
                <w:tcMar>
                  <w:top w:w="15" w:type="dxa"/>
                  <w:left w:w="0" w:type="dxa"/>
                  <w:bottom w:w="0" w:type="dxa"/>
                  <w:right w:w="15" w:type="dxa"/>
                </w:tcMar>
                <w:vAlign w:val="bottom"/>
              </w:tcPr>
              <w:p w14:paraId="2C0814CF"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4D13084A"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E31D679"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08FDC6C3" w14:textId="77777777" w:rsidR="002606E8" w:rsidRDefault="002606E8" w:rsidP="002606E8">
                <w:pPr>
                  <w:jc w:val="right"/>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0ABEE269" w14:textId="77777777" w:rsidR="002606E8" w:rsidRDefault="002606E8" w:rsidP="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58009921"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9FF6FAA" w14:textId="77777777" w:rsidR="002606E8" w:rsidRDefault="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476B9D15" w14:textId="77777777" w:rsidR="002606E8" w:rsidRDefault="002606E8">
                <w:pPr>
                  <w:jc w:val="right"/>
                  <w:rPr>
                    <w:rFonts w:ascii="Calibri"/>
                    <w:color w:val="000000"/>
                    <w:sz w:val="20"/>
                  </w:rPr>
                </w:pPr>
                <w:r>
                  <w:rPr>
                    <w:rFonts w:ascii="Calibri"/>
                    <w:color w:val="000000"/>
                    <w:sz w:val="20"/>
                  </w:rPr>
                  <w:t>12,004,881</w:t>
                </w:r>
              </w:p>
            </w:tc>
            <w:tc>
              <w:tcPr>
                <w:tcW w:w="50" w:type="pct"/>
                <w:shd w:val="clear" w:color="auto" w:fill="CFF0FC"/>
                <w:noWrap/>
                <w:tcMar>
                  <w:top w:w="15" w:type="dxa"/>
                  <w:left w:w="0" w:type="dxa"/>
                  <w:bottom w:w="0" w:type="dxa"/>
                  <w:right w:w="15" w:type="dxa"/>
                </w:tcMar>
                <w:vAlign w:val="bottom"/>
              </w:tcPr>
              <w:p w14:paraId="0675FDAF" w14:textId="77777777" w:rsidR="002606E8" w:rsidRDefault="002606E8">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7791C7E3" w14:textId="77777777" w:rsidR="002606E8" w:rsidRDefault="002606E8" w:rsidP="002606E8">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EAE3AD7" w14:textId="77777777" w:rsidR="002606E8" w:rsidRDefault="002606E8" w:rsidP="002606E8">
                <w:pPr>
                  <w:rPr>
                    <w:rFonts w:ascii="Calibri"/>
                    <w:color w:val="000000"/>
                    <w:sz w:val="20"/>
                  </w:rPr>
                </w:pPr>
                <w:r>
                  <w:rPr>
                    <w:rFonts w:ascii="Calibri"/>
                    <w:color w:val="000000"/>
                    <w:sz w:val="20"/>
                  </w:rPr>
                  <w:t xml:space="preserve"> </w:t>
                </w:r>
              </w:p>
            </w:tc>
            <w:tc>
              <w:tcPr>
                <w:tcW w:w="459" w:type="pct"/>
                <w:shd w:val="clear" w:color="auto" w:fill="CFF0FC"/>
                <w:noWrap/>
                <w:tcMar>
                  <w:top w:w="15" w:type="dxa"/>
                  <w:left w:w="0" w:type="dxa"/>
                  <w:bottom w:w="0" w:type="dxa"/>
                  <w:right w:w="15" w:type="dxa"/>
                </w:tcMar>
                <w:vAlign w:val="bottom"/>
              </w:tcPr>
              <w:p w14:paraId="6D1408D1" w14:textId="77777777" w:rsidR="002606E8" w:rsidRDefault="002606E8" w:rsidP="002606E8">
                <w:pPr>
                  <w:jc w:val="right"/>
                  <w:rPr>
                    <w:rFonts w:ascii="Calibri"/>
                    <w:color w:val="000000"/>
                    <w:sz w:val="20"/>
                  </w:rPr>
                </w:pPr>
                <w:r>
                  <w:rPr>
                    <w:rFonts w:ascii="Calibri"/>
                    <w:color w:val="000000"/>
                    <w:sz w:val="20"/>
                  </w:rPr>
                  <w:t>—</w:t>
                </w:r>
              </w:p>
            </w:tc>
            <w:tc>
              <w:tcPr>
                <w:tcW w:w="50" w:type="pct"/>
                <w:shd w:val="clear" w:color="auto" w:fill="CFF0FC"/>
                <w:noWrap/>
                <w:tcMar>
                  <w:top w:w="15" w:type="dxa"/>
                  <w:left w:w="0" w:type="dxa"/>
                  <w:bottom w:w="0" w:type="dxa"/>
                  <w:right w:w="15" w:type="dxa"/>
                </w:tcMar>
                <w:vAlign w:val="bottom"/>
              </w:tcPr>
              <w:p w14:paraId="34A33B67" w14:textId="234E17A8" w:rsidR="002606E8" w:rsidRDefault="002606E8" w:rsidP="002606E8">
                <w:pPr>
                  <w:rPr>
                    <w:rFonts w:ascii="Calibri"/>
                    <w:color w:val="000000"/>
                    <w:sz w:val="20"/>
                  </w:rPr>
                </w:pPr>
                <w:r>
                  <w:rPr>
                    <w:rFonts w:ascii="Calibri"/>
                    <w:color w:val="000000"/>
                    <w:sz w:val="2"/>
                  </w:rPr>
                  <w:t xml:space="preserve"> </w:t>
                </w:r>
              </w:p>
            </w:tc>
          </w:tr>
        </w:tbl>
      </w:sdtContent>
    </w:sdt>
    <w:p w14:paraId="70C520E0" w14:textId="77777777" w:rsidR="00E57EC0" w:rsidRPr="00F76E29" w:rsidRDefault="00E57EC0" w:rsidP="00E57EC0">
      <w:pPr>
        <w:pStyle w:val="NormalWeb"/>
        <w:keepNext/>
        <w:pageBreakBefore/>
        <w:spacing w:before="0" w:beforeAutospacing="0" w:after="0" w:afterAutospacing="0"/>
        <w:jc w:val="center"/>
        <w:rPr>
          <w:rFonts w:asciiTheme="minorHAnsi" w:hAnsiTheme="minorHAnsi"/>
          <w:sz w:val="20"/>
          <w:szCs w:val="20"/>
        </w:rPr>
      </w:pPr>
      <w:r w:rsidRPr="00F76E29">
        <w:rPr>
          <w:rFonts w:asciiTheme="minorHAnsi" w:hAnsiTheme="minorHAnsi"/>
          <w:b/>
          <w:bCs/>
          <w:caps/>
          <w:sz w:val="20"/>
          <w:szCs w:val="20"/>
        </w:rPr>
        <w:lastRenderedPageBreak/>
        <w:t>BOGOTA FINANCIAL cORP.</w:t>
      </w:r>
    </w:p>
    <w:p w14:paraId="558B3792" w14:textId="77777777" w:rsidR="00E57EC0" w:rsidRPr="00F76E29" w:rsidRDefault="00E57EC0" w:rsidP="00E57EC0">
      <w:pPr>
        <w:pStyle w:val="NormalWeb"/>
        <w:keepNext/>
        <w:spacing w:before="0" w:beforeAutospacing="0" w:after="0" w:afterAutospacing="0"/>
        <w:jc w:val="center"/>
        <w:rPr>
          <w:rFonts w:asciiTheme="minorHAnsi" w:hAnsiTheme="minorHAnsi"/>
          <w:b/>
          <w:sz w:val="20"/>
          <w:szCs w:val="20"/>
        </w:rPr>
      </w:pPr>
      <w:r w:rsidRPr="00F76E29">
        <w:rPr>
          <w:rFonts w:asciiTheme="minorHAnsi" w:hAnsiTheme="minorHAnsi"/>
          <w:b/>
          <w:sz w:val="20"/>
          <w:szCs w:val="20"/>
        </w:rPr>
        <w:t>SELECTED RATIOS</w:t>
      </w:r>
    </w:p>
    <w:p w14:paraId="58DFC22A" w14:textId="77777777" w:rsidR="00E57EC0" w:rsidRPr="00E57EC0" w:rsidRDefault="00E57EC0" w:rsidP="00F76E29">
      <w:pPr>
        <w:keepNext/>
        <w:rPr>
          <w:rFonts w:asciiTheme="minorHAnsi" w:hAnsiTheme="minorHAnsi" w:cs="Times New Roman"/>
          <w:b/>
          <w:bCs/>
          <w:szCs w:val="22"/>
        </w:rPr>
      </w:pPr>
    </w:p>
    <w:sdt>
      <w:sdtPr>
        <w:alias w:val="AL-EX991_T3 - BSBK_Workbook"/>
        <w:tag w:val="ebbb96d2-eb3c-40df-9701-fe2f8d84b9a1"/>
        <w:id w:val="-848569338"/>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491"/>
            <w:gridCol w:w="91"/>
            <w:gridCol w:w="990"/>
            <w:gridCol w:w="158"/>
            <w:gridCol w:w="115"/>
            <w:gridCol w:w="91"/>
            <w:gridCol w:w="992"/>
            <w:gridCol w:w="158"/>
            <w:gridCol w:w="115"/>
            <w:gridCol w:w="91"/>
            <w:gridCol w:w="991"/>
            <w:gridCol w:w="158"/>
            <w:gridCol w:w="116"/>
            <w:gridCol w:w="92"/>
            <w:gridCol w:w="993"/>
            <w:gridCol w:w="158"/>
          </w:tblGrid>
          <w:tr w:rsidR="00C21036" w14:paraId="6D4AD66C" w14:textId="77777777">
            <w:trPr>
              <w:cantSplit/>
              <w:jc w:val="center"/>
            </w:trPr>
            <w:tc>
              <w:tcPr>
                <w:tcW w:w="2549" w:type="pct"/>
                <w:shd w:val="clear" w:color="auto" w:fill="FFFFFF"/>
                <w:tcMar>
                  <w:top w:w="15" w:type="dxa"/>
                  <w:left w:w="0" w:type="dxa"/>
                  <w:bottom w:w="0" w:type="dxa"/>
                  <w:right w:w="15" w:type="dxa"/>
                </w:tcMar>
                <w:vAlign w:val="bottom"/>
              </w:tcPr>
              <w:p w14:paraId="7D48566F" w14:textId="750D0930" w:rsidR="00C21036" w:rsidRDefault="00C21036" w:rsidP="0043103E">
                <w:pPr>
                  <w:keepNext/>
                  <w:jc w:val="center"/>
                  <w:rPr>
                    <w:rFonts w:ascii="Calibri"/>
                    <w:b/>
                    <w:color w:val="000000"/>
                    <w:sz w:val="20"/>
                  </w:rPr>
                </w:pPr>
                <w:r>
                  <w:t xml:space="preserve"> </w:t>
                </w:r>
                <w:r>
                  <w:rPr>
                    <w:rFonts w:ascii="Calibri"/>
                    <w:b/>
                    <w:color w:val="000000"/>
                    <w:sz w:val="20"/>
                  </w:rPr>
                  <w:t xml:space="preserve"> </w:t>
                </w:r>
              </w:p>
            </w:tc>
            <w:tc>
              <w:tcPr>
                <w:tcW w:w="1144" w:type="pct"/>
                <w:gridSpan w:val="6"/>
                <w:tcBorders>
                  <w:bottom w:val="single" w:sz="2" w:space="0" w:color="000000"/>
                </w:tcBorders>
                <w:shd w:val="clear" w:color="auto" w:fill="FFFFFF"/>
                <w:tcMar>
                  <w:top w:w="15" w:type="dxa"/>
                  <w:left w:w="0" w:type="dxa"/>
                  <w:bottom w:w="0" w:type="dxa"/>
                  <w:right w:w="15" w:type="dxa"/>
                </w:tcMar>
                <w:vAlign w:val="bottom"/>
              </w:tcPr>
              <w:p w14:paraId="5B28D1FD" w14:textId="77777777" w:rsidR="00C21036" w:rsidRDefault="00C21036" w:rsidP="0043103E">
                <w:pPr>
                  <w:jc w:val="center"/>
                  <w:rPr>
                    <w:rFonts w:ascii="Calibri"/>
                    <w:b/>
                    <w:color w:val="000000"/>
                    <w:sz w:val="20"/>
                  </w:rPr>
                </w:pPr>
                <w:r>
                  <w:rPr>
                    <w:rFonts w:ascii="Calibri"/>
                    <w:b/>
                    <w:color w:val="000000"/>
                    <w:sz w:val="20"/>
                  </w:rPr>
                  <w:t>At or For the Three Months</w:t>
                </w:r>
              </w:p>
              <w:p w14:paraId="480CC5E1" w14:textId="77777777" w:rsidR="00C21036" w:rsidRDefault="00C21036" w:rsidP="0043103E">
                <w:pPr>
                  <w:jc w:val="center"/>
                </w:pPr>
                <w:r>
                  <w:rPr>
                    <w:rFonts w:ascii="Calibri"/>
                    <w:b/>
                    <w:color w:val="000000"/>
                    <w:sz w:val="20"/>
                  </w:rPr>
                  <w:t>Ended September 30,</w:t>
                </w:r>
              </w:p>
            </w:tc>
            <w:tc>
              <w:tcPr>
                <w:tcW w:w="50" w:type="pct"/>
                <w:shd w:val="clear" w:color="auto" w:fill="FFFFFF"/>
                <w:noWrap/>
                <w:tcMar>
                  <w:top w:w="15" w:type="dxa"/>
                  <w:left w:w="0" w:type="dxa"/>
                  <w:bottom w:w="0" w:type="dxa"/>
                  <w:right w:w="15" w:type="dxa"/>
                </w:tcMar>
                <w:vAlign w:val="bottom"/>
              </w:tcPr>
              <w:p w14:paraId="2D1022F4" w14:textId="77777777" w:rsidR="00C21036" w:rsidRDefault="00C21036" w:rsidP="0043103E">
                <w:pPr>
                  <w:rPr>
                    <w:rFonts w:ascii="Calibri"/>
                    <w:b/>
                    <w:color w:val="000000"/>
                    <w:sz w:val="20"/>
                  </w:rPr>
                </w:pPr>
                <w:r>
                  <w:rPr>
                    <w:rFonts w:ascii="Calibri"/>
                    <w:b/>
                    <w:color w:val="000000"/>
                    <w:sz w:val="20"/>
                  </w:rPr>
                  <w:t xml:space="preserve"> </w:t>
                </w:r>
              </w:p>
            </w:tc>
            <w:tc>
              <w:tcPr>
                <w:tcW w:w="61" w:type="pct"/>
                <w:shd w:val="clear" w:color="auto" w:fill="FFFFFF"/>
                <w:tcMar>
                  <w:top w:w="15" w:type="dxa"/>
                  <w:left w:w="0" w:type="dxa"/>
                  <w:bottom w:w="0" w:type="dxa"/>
                  <w:right w:w="15" w:type="dxa"/>
                </w:tcMar>
                <w:vAlign w:val="bottom"/>
              </w:tcPr>
              <w:p w14:paraId="5F19B8CA" w14:textId="77777777" w:rsidR="00C21036" w:rsidRDefault="00C21036" w:rsidP="0043103E">
                <w:pPr>
                  <w:rPr>
                    <w:rFonts w:ascii="Calibri"/>
                    <w:b/>
                    <w:color w:val="000000"/>
                    <w:sz w:val="20"/>
                  </w:rPr>
                </w:pPr>
                <w:r>
                  <w:rPr>
                    <w:rFonts w:ascii="Calibri"/>
                    <w:b/>
                    <w:color w:val="000000"/>
                    <w:sz w:val="20"/>
                  </w:rPr>
                  <w:t xml:space="preserve"> </w:t>
                </w:r>
              </w:p>
            </w:tc>
            <w:tc>
              <w:tcPr>
                <w:tcW w:w="1144" w:type="pct"/>
                <w:gridSpan w:val="6"/>
                <w:tcBorders>
                  <w:bottom w:val="single" w:sz="2" w:space="0" w:color="000000"/>
                </w:tcBorders>
                <w:shd w:val="clear" w:color="auto" w:fill="FFFFFF"/>
                <w:tcMar>
                  <w:top w:w="15" w:type="dxa"/>
                  <w:left w:w="0" w:type="dxa"/>
                  <w:bottom w:w="0" w:type="dxa"/>
                  <w:right w:w="15" w:type="dxa"/>
                </w:tcMar>
                <w:vAlign w:val="bottom"/>
              </w:tcPr>
              <w:p w14:paraId="78D30887" w14:textId="77777777" w:rsidR="00C21036" w:rsidRDefault="00C21036" w:rsidP="0043103E">
                <w:pPr>
                  <w:jc w:val="center"/>
                  <w:rPr>
                    <w:rFonts w:ascii="Calibri"/>
                    <w:b/>
                    <w:color w:val="000000"/>
                    <w:sz w:val="20"/>
                  </w:rPr>
                </w:pPr>
                <w:r>
                  <w:rPr>
                    <w:rFonts w:ascii="Calibri"/>
                    <w:b/>
                    <w:color w:val="000000"/>
                    <w:sz w:val="20"/>
                  </w:rPr>
                  <w:t>At or For the Nine Months</w:t>
                </w:r>
              </w:p>
              <w:p w14:paraId="52FB1981" w14:textId="77777777" w:rsidR="00C21036" w:rsidRDefault="00C21036" w:rsidP="0043103E">
                <w:pPr>
                  <w:jc w:val="center"/>
                </w:pPr>
                <w:r>
                  <w:rPr>
                    <w:rFonts w:ascii="Calibri"/>
                    <w:b/>
                    <w:color w:val="000000"/>
                    <w:sz w:val="20"/>
                  </w:rPr>
                  <w:t>Ended September 30,</w:t>
                </w:r>
              </w:p>
            </w:tc>
            <w:tc>
              <w:tcPr>
                <w:tcW w:w="50" w:type="pct"/>
                <w:shd w:val="clear" w:color="auto" w:fill="FFFFFF"/>
                <w:noWrap/>
                <w:tcMar>
                  <w:top w:w="15" w:type="dxa"/>
                  <w:left w:w="0" w:type="dxa"/>
                  <w:bottom w:w="0" w:type="dxa"/>
                  <w:right w:w="15" w:type="dxa"/>
                </w:tcMar>
                <w:vAlign w:val="bottom"/>
              </w:tcPr>
              <w:p w14:paraId="060E4A73" w14:textId="77777777" w:rsidR="00C21036" w:rsidRDefault="00C21036" w:rsidP="0043103E">
                <w:pPr>
                  <w:rPr>
                    <w:rFonts w:ascii="Calibri"/>
                    <w:b/>
                    <w:color w:val="000000"/>
                    <w:sz w:val="20"/>
                  </w:rPr>
                </w:pPr>
                <w:r>
                  <w:rPr>
                    <w:rFonts w:ascii="Calibri"/>
                    <w:b/>
                    <w:color w:val="000000"/>
                    <w:sz w:val="20"/>
                  </w:rPr>
                  <w:t xml:space="preserve"> </w:t>
                </w:r>
              </w:p>
            </w:tc>
          </w:tr>
          <w:tr w:rsidR="00C21036" w14:paraId="48768C4A" w14:textId="77777777">
            <w:trPr>
              <w:cantSplit/>
              <w:jc w:val="center"/>
            </w:trPr>
            <w:tc>
              <w:tcPr>
                <w:tcW w:w="2549" w:type="pct"/>
                <w:shd w:val="clear" w:color="auto" w:fill="FFFFFF"/>
                <w:tcMar>
                  <w:top w:w="15" w:type="dxa"/>
                  <w:left w:w="0" w:type="dxa"/>
                  <w:bottom w:w="0" w:type="dxa"/>
                  <w:right w:w="15" w:type="dxa"/>
                </w:tcMar>
                <w:vAlign w:val="bottom"/>
              </w:tcPr>
              <w:p w14:paraId="642432D9" w14:textId="77777777" w:rsidR="00C21036" w:rsidRDefault="00C21036" w:rsidP="0043103E">
                <w:pPr>
                  <w:keepNext/>
                  <w:jc w:val="center"/>
                  <w:rPr>
                    <w:rFonts w:ascii="Calibri"/>
                    <w:b/>
                    <w:color w:val="000000"/>
                    <w:sz w:val="20"/>
                  </w:rPr>
                </w:pPr>
                <w:r>
                  <w:rPr>
                    <w:rFonts w:ascii="Calibri"/>
                    <w:b/>
                    <w:color w:val="000000"/>
                    <w:sz w:val="20"/>
                  </w:rPr>
                  <w:t xml:space="preserve"> </w:t>
                </w:r>
              </w:p>
            </w:tc>
            <w:tc>
              <w:tcPr>
                <w:tcW w:w="51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BBFA092" w14:textId="77777777" w:rsidR="00C21036" w:rsidRDefault="00C21036" w:rsidP="0043103E">
                <w:pPr>
                  <w:jc w:val="center"/>
                  <w:rPr>
                    <w:rFonts w:ascii="Calibri"/>
                    <w:b/>
                    <w:color w:val="000000"/>
                    <w:sz w:val="20"/>
                  </w:rPr>
                </w:pPr>
                <w:r>
                  <w:rPr>
                    <w:rFonts w:ascii="Calibri"/>
                    <w:b/>
                    <w:color w:val="000000"/>
                    <w:sz w:val="20"/>
                  </w:rPr>
                  <w:t>2020</w:t>
                </w:r>
              </w:p>
            </w:tc>
            <w:tc>
              <w:tcPr>
                <w:tcW w:w="50" w:type="pct"/>
                <w:shd w:val="clear" w:color="auto" w:fill="FFFFFF"/>
                <w:noWrap/>
                <w:tcMar>
                  <w:top w:w="15" w:type="dxa"/>
                  <w:left w:w="0" w:type="dxa"/>
                  <w:bottom w:w="0" w:type="dxa"/>
                  <w:right w:w="15" w:type="dxa"/>
                </w:tcMar>
                <w:vAlign w:val="bottom"/>
              </w:tcPr>
              <w:p w14:paraId="617FF6E6" w14:textId="77777777" w:rsidR="00C21036" w:rsidRDefault="00C21036" w:rsidP="0043103E">
                <w:pPr>
                  <w:rPr>
                    <w:rFonts w:ascii="Calibri"/>
                    <w:b/>
                    <w:color w:val="000000"/>
                    <w:sz w:val="20"/>
                  </w:rPr>
                </w:pPr>
                <w:r>
                  <w:rPr>
                    <w:rFonts w:ascii="Calibri"/>
                    <w:b/>
                    <w:color w:val="000000"/>
                    <w:sz w:val="20"/>
                  </w:rPr>
                  <w:t xml:space="preserve"> </w:t>
                </w:r>
              </w:p>
            </w:tc>
            <w:tc>
              <w:tcPr>
                <w:tcW w:w="61" w:type="pct"/>
                <w:tcBorders>
                  <w:top w:val="single" w:sz="2" w:space="0" w:color="000000"/>
                </w:tcBorders>
                <w:shd w:val="clear" w:color="auto" w:fill="FFFFFF"/>
                <w:tcMar>
                  <w:top w:w="15" w:type="dxa"/>
                  <w:left w:w="0" w:type="dxa"/>
                  <w:bottom w:w="0" w:type="dxa"/>
                  <w:right w:w="15" w:type="dxa"/>
                </w:tcMar>
                <w:vAlign w:val="bottom"/>
              </w:tcPr>
              <w:p w14:paraId="052FCB0C" w14:textId="77777777" w:rsidR="00C21036" w:rsidRDefault="00C21036" w:rsidP="0043103E">
                <w:pPr>
                  <w:rPr>
                    <w:rFonts w:ascii="Calibri"/>
                    <w:b/>
                    <w:color w:val="000000"/>
                    <w:sz w:val="20"/>
                  </w:rPr>
                </w:pPr>
                <w:r>
                  <w:rPr>
                    <w:rFonts w:ascii="Calibri"/>
                    <w:b/>
                    <w:color w:val="000000"/>
                    <w:sz w:val="20"/>
                  </w:rPr>
                  <w:t xml:space="preserve"> </w:t>
                </w:r>
              </w:p>
            </w:tc>
            <w:tc>
              <w:tcPr>
                <w:tcW w:w="51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58D37A5" w14:textId="77777777" w:rsidR="00C21036" w:rsidRDefault="00C21036" w:rsidP="0043103E">
                <w:pPr>
                  <w:jc w:val="center"/>
                  <w:rPr>
                    <w:rFonts w:ascii="Calibri"/>
                    <w:b/>
                    <w:color w:val="000000"/>
                    <w:sz w:val="20"/>
                  </w:rPr>
                </w:pPr>
                <w:r>
                  <w:rPr>
                    <w:rFonts w:ascii="Calibri"/>
                    <w:b/>
                    <w:color w:val="000000"/>
                    <w:sz w:val="20"/>
                  </w:rPr>
                  <w:t>2019</w:t>
                </w:r>
              </w:p>
            </w:tc>
            <w:tc>
              <w:tcPr>
                <w:tcW w:w="50" w:type="pct"/>
                <w:shd w:val="clear" w:color="auto" w:fill="FFFFFF"/>
                <w:noWrap/>
                <w:tcMar>
                  <w:top w:w="15" w:type="dxa"/>
                  <w:left w:w="0" w:type="dxa"/>
                  <w:bottom w:w="0" w:type="dxa"/>
                  <w:right w:w="15" w:type="dxa"/>
                </w:tcMar>
                <w:vAlign w:val="bottom"/>
              </w:tcPr>
              <w:p w14:paraId="659C75D4" w14:textId="77777777" w:rsidR="00C21036" w:rsidRDefault="00C21036" w:rsidP="0043103E">
                <w:pPr>
                  <w:rPr>
                    <w:rFonts w:ascii="Calibri"/>
                    <w:b/>
                    <w:color w:val="000000"/>
                    <w:sz w:val="20"/>
                  </w:rPr>
                </w:pPr>
                <w:r>
                  <w:rPr>
                    <w:rFonts w:ascii="Calibri"/>
                    <w:b/>
                    <w:color w:val="000000"/>
                    <w:sz w:val="20"/>
                  </w:rPr>
                  <w:t xml:space="preserve"> </w:t>
                </w:r>
              </w:p>
            </w:tc>
            <w:tc>
              <w:tcPr>
                <w:tcW w:w="61" w:type="pct"/>
                <w:shd w:val="clear" w:color="auto" w:fill="FFFFFF"/>
                <w:tcMar>
                  <w:top w:w="15" w:type="dxa"/>
                  <w:left w:w="0" w:type="dxa"/>
                  <w:bottom w:w="0" w:type="dxa"/>
                  <w:right w:w="15" w:type="dxa"/>
                </w:tcMar>
                <w:vAlign w:val="bottom"/>
              </w:tcPr>
              <w:p w14:paraId="3E612B65" w14:textId="77777777" w:rsidR="00C21036" w:rsidRDefault="00C21036" w:rsidP="0043103E">
                <w:pPr>
                  <w:rPr>
                    <w:rFonts w:ascii="Calibri"/>
                    <w:b/>
                    <w:color w:val="000000"/>
                    <w:sz w:val="20"/>
                  </w:rPr>
                </w:pPr>
                <w:r>
                  <w:rPr>
                    <w:rFonts w:ascii="Calibri"/>
                    <w:b/>
                    <w:color w:val="000000"/>
                    <w:sz w:val="20"/>
                  </w:rPr>
                  <w:t xml:space="preserve"> </w:t>
                </w:r>
              </w:p>
            </w:tc>
            <w:tc>
              <w:tcPr>
                <w:tcW w:w="51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0CA9251" w14:textId="77777777" w:rsidR="00C21036" w:rsidRDefault="00C21036" w:rsidP="0043103E">
                <w:pPr>
                  <w:jc w:val="center"/>
                  <w:rPr>
                    <w:rFonts w:ascii="Calibri"/>
                    <w:b/>
                    <w:color w:val="000000"/>
                    <w:sz w:val="20"/>
                  </w:rPr>
                </w:pPr>
                <w:r>
                  <w:rPr>
                    <w:rFonts w:ascii="Calibri"/>
                    <w:b/>
                    <w:color w:val="000000"/>
                    <w:sz w:val="20"/>
                  </w:rPr>
                  <w:t>2020</w:t>
                </w:r>
              </w:p>
            </w:tc>
            <w:tc>
              <w:tcPr>
                <w:tcW w:w="50" w:type="pct"/>
                <w:shd w:val="clear" w:color="auto" w:fill="FFFFFF"/>
                <w:noWrap/>
                <w:tcMar>
                  <w:top w:w="15" w:type="dxa"/>
                  <w:left w:w="0" w:type="dxa"/>
                  <w:bottom w:w="0" w:type="dxa"/>
                  <w:right w:w="15" w:type="dxa"/>
                </w:tcMar>
                <w:vAlign w:val="bottom"/>
              </w:tcPr>
              <w:p w14:paraId="665BF1FC" w14:textId="77777777" w:rsidR="00C21036" w:rsidRDefault="00C21036" w:rsidP="0043103E">
                <w:pPr>
                  <w:rPr>
                    <w:rFonts w:ascii="Calibri"/>
                    <w:b/>
                    <w:color w:val="000000"/>
                    <w:sz w:val="20"/>
                  </w:rPr>
                </w:pPr>
                <w:r>
                  <w:rPr>
                    <w:rFonts w:ascii="Calibri"/>
                    <w:b/>
                    <w:color w:val="000000"/>
                    <w:sz w:val="20"/>
                  </w:rPr>
                  <w:t xml:space="preserve"> </w:t>
                </w:r>
              </w:p>
            </w:tc>
            <w:tc>
              <w:tcPr>
                <w:tcW w:w="61" w:type="pct"/>
                <w:tcBorders>
                  <w:top w:val="single" w:sz="2" w:space="0" w:color="000000"/>
                </w:tcBorders>
                <w:shd w:val="clear" w:color="auto" w:fill="FFFFFF"/>
                <w:tcMar>
                  <w:top w:w="15" w:type="dxa"/>
                  <w:left w:w="0" w:type="dxa"/>
                  <w:bottom w:w="0" w:type="dxa"/>
                  <w:right w:w="15" w:type="dxa"/>
                </w:tcMar>
                <w:vAlign w:val="bottom"/>
              </w:tcPr>
              <w:p w14:paraId="705F321A" w14:textId="77777777" w:rsidR="00C21036" w:rsidRDefault="00C21036" w:rsidP="0043103E">
                <w:pPr>
                  <w:rPr>
                    <w:rFonts w:ascii="Calibri"/>
                    <w:b/>
                    <w:color w:val="000000"/>
                    <w:sz w:val="20"/>
                  </w:rPr>
                </w:pPr>
                <w:r>
                  <w:rPr>
                    <w:rFonts w:ascii="Calibri"/>
                    <w:b/>
                    <w:color w:val="000000"/>
                    <w:sz w:val="20"/>
                  </w:rPr>
                  <w:t xml:space="preserve"> </w:t>
                </w:r>
              </w:p>
            </w:tc>
            <w:tc>
              <w:tcPr>
                <w:tcW w:w="51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F11FC52" w14:textId="77777777" w:rsidR="00C21036" w:rsidRDefault="00C21036" w:rsidP="0043103E">
                <w:pPr>
                  <w:jc w:val="center"/>
                  <w:rPr>
                    <w:rFonts w:ascii="Calibri"/>
                    <w:b/>
                    <w:color w:val="000000"/>
                    <w:sz w:val="20"/>
                  </w:rPr>
                </w:pPr>
                <w:r>
                  <w:rPr>
                    <w:rFonts w:ascii="Calibri"/>
                    <w:b/>
                    <w:color w:val="000000"/>
                    <w:sz w:val="20"/>
                  </w:rPr>
                  <w:t>2019</w:t>
                </w:r>
              </w:p>
            </w:tc>
            <w:tc>
              <w:tcPr>
                <w:tcW w:w="50" w:type="pct"/>
                <w:shd w:val="clear" w:color="auto" w:fill="FFFFFF"/>
                <w:noWrap/>
                <w:tcMar>
                  <w:top w:w="15" w:type="dxa"/>
                  <w:left w:w="0" w:type="dxa"/>
                  <w:bottom w:w="0" w:type="dxa"/>
                  <w:right w:w="15" w:type="dxa"/>
                </w:tcMar>
                <w:vAlign w:val="bottom"/>
              </w:tcPr>
              <w:p w14:paraId="4009866B" w14:textId="77777777" w:rsidR="00C21036" w:rsidRDefault="00C21036" w:rsidP="0043103E">
                <w:pPr>
                  <w:rPr>
                    <w:rFonts w:ascii="Calibri"/>
                    <w:b/>
                    <w:color w:val="000000"/>
                    <w:sz w:val="20"/>
                  </w:rPr>
                </w:pPr>
                <w:r>
                  <w:rPr>
                    <w:rFonts w:ascii="Calibri"/>
                    <w:b/>
                    <w:color w:val="000000"/>
                    <w:sz w:val="20"/>
                  </w:rPr>
                  <w:t xml:space="preserve"> </w:t>
                </w:r>
              </w:p>
            </w:tc>
          </w:tr>
          <w:tr w:rsidR="00C21036" w14:paraId="5E9245FC" w14:textId="77777777">
            <w:trPr>
              <w:cantSplit/>
              <w:jc w:val="center"/>
            </w:trPr>
            <w:tc>
              <w:tcPr>
                <w:tcW w:w="2549" w:type="pct"/>
                <w:shd w:val="clear" w:color="auto" w:fill="CFF0FC"/>
                <w:tcMar>
                  <w:top w:w="15" w:type="dxa"/>
                  <w:left w:w="0" w:type="dxa"/>
                  <w:bottom w:w="0" w:type="dxa"/>
                  <w:right w:w="15" w:type="dxa"/>
                </w:tcMar>
              </w:tcPr>
              <w:p w14:paraId="06F0CF6C" w14:textId="77777777" w:rsidR="00C21036" w:rsidRDefault="00C21036" w:rsidP="0043103E">
                <w:pPr>
                  <w:keepNext/>
                  <w:rPr>
                    <w:rFonts w:ascii="Calibri"/>
                    <w:b/>
                    <w:color w:val="000000"/>
                    <w:sz w:val="20"/>
                  </w:rPr>
                </w:pPr>
                <w:r>
                  <w:rPr>
                    <w:rFonts w:ascii="Calibri"/>
                    <w:b/>
                    <w:color w:val="000000"/>
                    <w:sz w:val="20"/>
                  </w:rPr>
                  <w:t>Performance Ratios (1):</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F522239" w14:textId="77777777" w:rsidR="00C21036" w:rsidRDefault="00C21036" w:rsidP="0043103E">
                <w:pPr>
                  <w:rPr>
                    <w:rFonts w:ascii="Calibri"/>
                    <w:color w:val="000000"/>
                    <w:sz w:val="20"/>
                  </w:rPr>
                </w:pPr>
                <w:r>
                  <w:rPr>
                    <w:rFonts w:ascii="Calibri"/>
                    <w:color w:val="000000"/>
                    <w:sz w:val="20"/>
                  </w:rPr>
                  <w:t xml:space="preserve"> </w:t>
                </w:r>
              </w:p>
            </w:tc>
            <w:tc>
              <w:tcPr>
                <w:tcW w:w="466" w:type="pct"/>
                <w:tcBorders>
                  <w:top w:val="single" w:sz="2" w:space="0" w:color="000000"/>
                </w:tcBorders>
                <w:shd w:val="clear" w:color="auto" w:fill="CFF0FC"/>
                <w:noWrap/>
                <w:tcMar>
                  <w:top w:w="15" w:type="dxa"/>
                  <w:left w:w="0" w:type="dxa"/>
                  <w:bottom w:w="0" w:type="dxa"/>
                  <w:right w:w="15" w:type="dxa"/>
                </w:tcMar>
                <w:vAlign w:val="bottom"/>
              </w:tcPr>
              <w:p w14:paraId="6CF7C330"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8080A83"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67882A04" w14:textId="77777777" w:rsidR="00C21036" w:rsidRDefault="00C21036" w:rsidP="0043103E">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DC0C0FA" w14:textId="77777777" w:rsidR="00C21036" w:rsidRDefault="00C21036" w:rsidP="0043103E">
                <w:pPr>
                  <w:rPr>
                    <w:rFonts w:ascii="Calibri"/>
                    <w:color w:val="000000"/>
                    <w:sz w:val="20"/>
                  </w:rPr>
                </w:pPr>
                <w:r>
                  <w:rPr>
                    <w:rFonts w:ascii="Calibri"/>
                    <w:color w:val="000000"/>
                    <w:sz w:val="20"/>
                  </w:rPr>
                  <w:t xml:space="preserve"> </w:t>
                </w:r>
              </w:p>
            </w:tc>
            <w:tc>
              <w:tcPr>
                <w:tcW w:w="466" w:type="pct"/>
                <w:tcBorders>
                  <w:top w:val="single" w:sz="2" w:space="0" w:color="000000"/>
                </w:tcBorders>
                <w:shd w:val="clear" w:color="auto" w:fill="CFF0FC"/>
                <w:noWrap/>
                <w:tcMar>
                  <w:top w:w="15" w:type="dxa"/>
                  <w:left w:w="0" w:type="dxa"/>
                  <w:bottom w:w="0" w:type="dxa"/>
                  <w:right w:w="15" w:type="dxa"/>
                </w:tcMar>
                <w:vAlign w:val="bottom"/>
              </w:tcPr>
              <w:p w14:paraId="16B83BBF"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4D8CADB"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7BEAFD6F" w14:textId="77777777" w:rsidR="00C21036" w:rsidRDefault="00C21036" w:rsidP="0043103E">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1098F47" w14:textId="77777777" w:rsidR="00C21036" w:rsidRDefault="00C21036" w:rsidP="0043103E">
                <w:pPr>
                  <w:rPr>
                    <w:rFonts w:ascii="Calibri"/>
                    <w:color w:val="000000"/>
                    <w:sz w:val="20"/>
                  </w:rPr>
                </w:pPr>
                <w:r>
                  <w:rPr>
                    <w:rFonts w:ascii="Calibri"/>
                    <w:color w:val="000000"/>
                    <w:sz w:val="20"/>
                  </w:rPr>
                  <w:t xml:space="preserve"> </w:t>
                </w:r>
              </w:p>
            </w:tc>
            <w:tc>
              <w:tcPr>
                <w:tcW w:w="466" w:type="pct"/>
                <w:tcBorders>
                  <w:top w:val="single" w:sz="2" w:space="0" w:color="000000"/>
                </w:tcBorders>
                <w:shd w:val="clear" w:color="auto" w:fill="CFF0FC"/>
                <w:noWrap/>
                <w:tcMar>
                  <w:top w:w="15" w:type="dxa"/>
                  <w:left w:w="0" w:type="dxa"/>
                  <w:bottom w:w="0" w:type="dxa"/>
                  <w:right w:w="15" w:type="dxa"/>
                </w:tcMar>
                <w:vAlign w:val="bottom"/>
              </w:tcPr>
              <w:p w14:paraId="66CA4552"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8D25346"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37D18CBB" w14:textId="77777777" w:rsidR="00C21036" w:rsidRDefault="00C21036" w:rsidP="0043103E">
                <w:pPr>
                  <w:rPr>
                    <w:rFonts w:ascii="Calibri"/>
                    <w:color w:val="000000"/>
                    <w:sz w:val="20"/>
                  </w:rPr>
                </w:pPr>
                <w:r>
                  <w:rPr>
                    <w:rFonts w:ascii="Calibri"/>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D10B5C6" w14:textId="77777777" w:rsidR="00C21036" w:rsidRDefault="00C21036" w:rsidP="0043103E">
                <w:pPr>
                  <w:rPr>
                    <w:rFonts w:ascii="Calibri"/>
                    <w:color w:val="000000"/>
                    <w:sz w:val="20"/>
                  </w:rPr>
                </w:pPr>
                <w:r>
                  <w:rPr>
                    <w:rFonts w:ascii="Calibri"/>
                    <w:color w:val="000000"/>
                    <w:sz w:val="20"/>
                  </w:rPr>
                  <w:t xml:space="preserve"> </w:t>
                </w:r>
              </w:p>
            </w:tc>
            <w:tc>
              <w:tcPr>
                <w:tcW w:w="466" w:type="pct"/>
                <w:tcBorders>
                  <w:top w:val="single" w:sz="2" w:space="0" w:color="000000"/>
                </w:tcBorders>
                <w:shd w:val="clear" w:color="auto" w:fill="CFF0FC"/>
                <w:noWrap/>
                <w:tcMar>
                  <w:top w:w="15" w:type="dxa"/>
                  <w:left w:w="0" w:type="dxa"/>
                  <w:bottom w:w="0" w:type="dxa"/>
                  <w:right w:w="15" w:type="dxa"/>
                </w:tcMar>
                <w:vAlign w:val="bottom"/>
              </w:tcPr>
              <w:p w14:paraId="051A76F4"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352123B" w14:textId="77777777" w:rsidR="00C21036" w:rsidRDefault="00C21036" w:rsidP="0043103E">
                <w:pPr>
                  <w:rPr>
                    <w:rFonts w:ascii="Calibri"/>
                    <w:color w:val="000000"/>
                    <w:sz w:val="20"/>
                  </w:rPr>
                </w:pPr>
                <w:r>
                  <w:rPr>
                    <w:rFonts w:ascii="Calibri"/>
                    <w:color w:val="000000"/>
                    <w:sz w:val="20"/>
                  </w:rPr>
                  <w:t xml:space="preserve"> </w:t>
                </w:r>
              </w:p>
            </w:tc>
          </w:tr>
          <w:tr w:rsidR="00C21036" w14:paraId="1382ADCF" w14:textId="77777777">
            <w:trPr>
              <w:cantSplit/>
              <w:jc w:val="center"/>
            </w:trPr>
            <w:tc>
              <w:tcPr>
                <w:tcW w:w="2549" w:type="pct"/>
                <w:shd w:val="clear" w:color="auto" w:fill="FFFFFF"/>
                <w:tcMar>
                  <w:top w:w="15" w:type="dxa"/>
                  <w:left w:w="0" w:type="dxa"/>
                  <w:bottom w:w="0" w:type="dxa"/>
                  <w:right w:w="15" w:type="dxa"/>
                </w:tcMar>
              </w:tcPr>
              <w:p w14:paraId="2C93CB9C" w14:textId="77777777" w:rsidR="00C21036" w:rsidRDefault="00C21036" w:rsidP="0043103E">
                <w:pPr>
                  <w:keepNext/>
                  <w:rPr>
                    <w:rFonts w:ascii="Calibri"/>
                    <w:color w:val="000000"/>
                    <w:sz w:val="20"/>
                  </w:rPr>
                </w:pPr>
                <w:r>
                  <w:rPr>
                    <w:rFonts w:ascii="Calibri"/>
                    <w:color w:val="000000"/>
                    <w:sz w:val="20"/>
                  </w:rPr>
                  <w:t>Return on average assets (2)</w:t>
                </w:r>
              </w:p>
            </w:tc>
            <w:tc>
              <w:tcPr>
                <w:tcW w:w="50" w:type="pct"/>
                <w:shd w:val="clear" w:color="auto" w:fill="FFFFFF"/>
                <w:noWrap/>
                <w:tcMar>
                  <w:top w:w="15" w:type="dxa"/>
                  <w:left w:w="0" w:type="dxa"/>
                  <w:bottom w:w="0" w:type="dxa"/>
                  <w:right w:w="15" w:type="dxa"/>
                </w:tcMar>
                <w:vAlign w:val="bottom"/>
              </w:tcPr>
              <w:p w14:paraId="3CF6EB33"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67A9E0F6" w14:textId="77777777" w:rsidR="00C21036" w:rsidRDefault="00C21036" w:rsidP="0043103E">
                <w:pPr>
                  <w:jc w:val="right"/>
                  <w:rPr>
                    <w:rFonts w:ascii="Calibri"/>
                    <w:color w:val="000000"/>
                    <w:sz w:val="20"/>
                  </w:rPr>
                </w:pPr>
                <w:r>
                  <w:rPr>
                    <w:rFonts w:ascii="Calibri"/>
                    <w:color w:val="000000"/>
                    <w:sz w:val="20"/>
                  </w:rPr>
                  <w:t>0.51</w:t>
                </w:r>
              </w:p>
            </w:tc>
            <w:tc>
              <w:tcPr>
                <w:tcW w:w="50" w:type="pct"/>
                <w:shd w:val="clear" w:color="auto" w:fill="FFFFFF"/>
                <w:noWrap/>
                <w:tcMar>
                  <w:top w:w="15" w:type="dxa"/>
                  <w:left w:w="0" w:type="dxa"/>
                  <w:bottom w:w="0" w:type="dxa"/>
                  <w:right w:w="15" w:type="dxa"/>
                </w:tcMar>
                <w:vAlign w:val="bottom"/>
              </w:tcPr>
              <w:p w14:paraId="7B282A9C"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4EF79C6E"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C39083F"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02FE1C07" w14:textId="77777777" w:rsidR="00C21036" w:rsidRDefault="00C21036" w:rsidP="0043103E">
                <w:pPr>
                  <w:jc w:val="right"/>
                  <w:rPr>
                    <w:rFonts w:ascii="Calibri"/>
                    <w:color w:val="000000"/>
                    <w:sz w:val="20"/>
                  </w:rPr>
                </w:pPr>
                <w:r>
                  <w:rPr>
                    <w:rFonts w:ascii="Calibri"/>
                    <w:color w:val="000000"/>
                    <w:sz w:val="20"/>
                  </w:rPr>
                  <w:t>0.10</w:t>
                </w:r>
              </w:p>
            </w:tc>
            <w:tc>
              <w:tcPr>
                <w:tcW w:w="50" w:type="pct"/>
                <w:shd w:val="clear" w:color="auto" w:fill="FFFFFF"/>
                <w:noWrap/>
                <w:tcMar>
                  <w:top w:w="15" w:type="dxa"/>
                  <w:left w:w="0" w:type="dxa"/>
                  <w:bottom w:w="0" w:type="dxa"/>
                  <w:right w:w="15" w:type="dxa"/>
                </w:tcMar>
                <w:vAlign w:val="bottom"/>
              </w:tcPr>
              <w:p w14:paraId="6985E26D"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504C5E0B"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CC0B2CD"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27981E0B" w14:textId="77777777" w:rsidR="00C21036" w:rsidRDefault="00C21036" w:rsidP="0043103E">
                <w:pPr>
                  <w:jc w:val="right"/>
                  <w:rPr>
                    <w:rFonts w:ascii="Calibri"/>
                    <w:color w:val="000000"/>
                    <w:sz w:val="20"/>
                  </w:rPr>
                </w:pPr>
                <w:r>
                  <w:rPr>
                    <w:rFonts w:ascii="Calibri"/>
                    <w:color w:val="000000"/>
                    <w:sz w:val="20"/>
                  </w:rPr>
                  <w:t>0.19</w:t>
                </w:r>
              </w:p>
            </w:tc>
            <w:tc>
              <w:tcPr>
                <w:tcW w:w="50" w:type="pct"/>
                <w:shd w:val="clear" w:color="auto" w:fill="FFFFFF"/>
                <w:noWrap/>
                <w:tcMar>
                  <w:top w:w="15" w:type="dxa"/>
                  <w:left w:w="0" w:type="dxa"/>
                  <w:bottom w:w="0" w:type="dxa"/>
                  <w:right w:w="15" w:type="dxa"/>
                </w:tcMar>
                <w:vAlign w:val="bottom"/>
              </w:tcPr>
              <w:p w14:paraId="11C54EFC"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5973DBDB"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CC6573F" w14:textId="77777777" w:rsidR="00C21036" w:rsidRDefault="00C21036">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700DDAEF" w14:textId="77777777" w:rsidR="00C21036" w:rsidRDefault="00C21036">
                <w:pPr>
                  <w:jc w:val="right"/>
                  <w:rPr>
                    <w:rFonts w:ascii="Calibri"/>
                    <w:color w:val="000000"/>
                    <w:sz w:val="20"/>
                  </w:rPr>
                </w:pPr>
                <w:r>
                  <w:rPr>
                    <w:rFonts w:ascii="Calibri"/>
                    <w:color w:val="000000"/>
                    <w:sz w:val="20"/>
                  </w:rPr>
                  <w:t>0.25</w:t>
                </w:r>
              </w:p>
            </w:tc>
            <w:tc>
              <w:tcPr>
                <w:tcW w:w="50" w:type="pct"/>
                <w:shd w:val="clear" w:color="auto" w:fill="FFFFFF"/>
                <w:noWrap/>
                <w:tcMar>
                  <w:top w:w="15" w:type="dxa"/>
                  <w:left w:w="0" w:type="dxa"/>
                  <w:bottom w:w="0" w:type="dxa"/>
                  <w:right w:w="15" w:type="dxa"/>
                </w:tcMar>
                <w:vAlign w:val="bottom"/>
              </w:tcPr>
              <w:p w14:paraId="5E94F4DD" w14:textId="77777777" w:rsidR="00C21036" w:rsidRDefault="00C21036">
                <w:pPr>
                  <w:rPr>
                    <w:rFonts w:ascii="Calibri"/>
                    <w:color w:val="000000"/>
                    <w:sz w:val="20"/>
                  </w:rPr>
                </w:pPr>
                <w:r>
                  <w:rPr>
                    <w:rFonts w:ascii="Calibri"/>
                    <w:color w:val="000000"/>
                    <w:sz w:val="20"/>
                  </w:rPr>
                  <w:t>%</w:t>
                </w:r>
              </w:p>
            </w:tc>
          </w:tr>
          <w:tr w:rsidR="00C21036" w14:paraId="6EA5BFBF" w14:textId="77777777">
            <w:trPr>
              <w:cantSplit/>
              <w:jc w:val="center"/>
            </w:trPr>
            <w:tc>
              <w:tcPr>
                <w:tcW w:w="2549" w:type="pct"/>
                <w:shd w:val="clear" w:color="auto" w:fill="CFF0FC"/>
                <w:tcMar>
                  <w:top w:w="15" w:type="dxa"/>
                  <w:left w:w="0" w:type="dxa"/>
                  <w:bottom w:w="0" w:type="dxa"/>
                  <w:right w:w="15" w:type="dxa"/>
                </w:tcMar>
              </w:tcPr>
              <w:p w14:paraId="1752AAC7" w14:textId="77777777" w:rsidR="00C21036" w:rsidRDefault="00C21036" w:rsidP="0043103E">
                <w:pPr>
                  <w:keepNext/>
                  <w:rPr>
                    <w:rFonts w:ascii="Calibri"/>
                    <w:color w:val="000000"/>
                    <w:sz w:val="20"/>
                  </w:rPr>
                </w:pPr>
                <w:r>
                  <w:rPr>
                    <w:rFonts w:ascii="Calibri"/>
                    <w:color w:val="000000"/>
                    <w:sz w:val="20"/>
                  </w:rPr>
                  <w:t>Return on average equity (3)</w:t>
                </w:r>
              </w:p>
            </w:tc>
            <w:tc>
              <w:tcPr>
                <w:tcW w:w="50" w:type="pct"/>
                <w:shd w:val="clear" w:color="auto" w:fill="CFF0FC"/>
                <w:noWrap/>
                <w:tcMar>
                  <w:top w:w="15" w:type="dxa"/>
                  <w:left w:w="0" w:type="dxa"/>
                  <w:bottom w:w="0" w:type="dxa"/>
                  <w:right w:w="15" w:type="dxa"/>
                </w:tcMar>
                <w:vAlign w:val="bottom"/>
              </w:tcPr>
              <w:p w14:paraId="596E6032"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7A6D3813" w14:textId="77777777" w:rsidR="00C21036" w:rsidRDefault="00C21036" w:rsidP="0043103E">
                <w:pPr>
                  <w:jc w:val="right"/>
                  <w:rPr>
                    <w:rFonts w:ascii="Calibri"/>
                    <w:color w:val="000000"/>
                    <w:sz w:val="20"/>
                  </w:rPr>
                </w:pPr>
                <w:r>
                  <w:rPr>
                    <w:rFonts w:ascii="Calibri"/>
                    <w:color w:val="000000"/>
                    <w:sz w:val="20"/>
                  </w:rPr>
                  <w:t>3.01</w:t>
                </w:r>
              </w:p>
            </w:tc>
            <w:tc>
              <w:tcPr>
                <w:tcW w:w="50" w:type="pct"/>
                <w:shd w:val="clear" w:color="auto" w:fill="CFF0FC"/>
                <w:noWrap/>
                <w:tcMar>
                  <w:top w:w="15" w:type="dxa"/>
                  <w:left w:w="0" w:type="dxa"/>
                  <w:bottom w:w="0" w:type="dxa"/>
                  <w:right w:w="15" w:type="dxa"/>
                </w:tcMar>
                <w:vAlign w:val="bottom"/>
              </w:tcPr>
              <w:p w14:paraId="4B0D2FE8"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53F3ACA0"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6324BB1"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128EAFC7" w14:textId="77777777" w:rsidR="00C21036" w:rsidRDefault="00C21036" w:rsidP="0043103E">
                <w:pPr>
                  <w:jc w:val="right"/>
                  <w:rPr>
                    <w:rFonts w:ascii="Calibri"/>
                    <w:color w:val="000000"/>
                    <w:sz w:val="20"/>
                  </w:rPr>
                </w:pPr>
                <w:r>
                  <w:rPr>
                    <w:rFonts w:ascii="Calibri"/>
                    <w:color w:val="000000"/>
                    <w:sz w:val="20"/>
                  </w:rPr>
                  <w:t>0.91</w:t>
                </w:r>
              </w:p>
            </w:tc>
            <w:tc>
              <w:tcPr>
                <w:tcW w:w="50" w:type="pct"/>
                <w:shd w:val="clear" w:color="auto" w:fill="CFF0FC"/>
                <w:noWrap/>
                <w:tcMar>
                  <w:top w:w="15" w:type="dxa"/>
                  <w:left w:w="0" w:type="dxa"/>
                  <w:bottom w:w="0" w:type="dxa"/>
                  <w:right w:w="15" w:type="dxa"/>
                </w:tcMar>
                <w:vAlign w:val="bottom"/>
              </w:tcPr>
              <w:p w14:paraId="06FA1D0B"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4438E7DE"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6240451"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3EC67B02" w14:textId="77777777" w:rsidR="00C21036" w:rsidRDefault="00C21036" w:rsidP="0043103E">
                <w:pPr>
                  <w:jc w:val="right"/>
                  <w:rPr>
                    <w:rFonts w:ascii="Calibri"/>
                    <w:color w:val="000000"/>
                    <w:sz w:val="20"/>
                  </w:rPr>
                </w:pPr>
                <w:r>
                  <w:rPr>
                    <w:rFonts w:ascii="Calibri"/>
                    <w:color w:val="000000"/>
                    <w:sz w:val="20"/>
                  </w:rPr>
                  <w:t>1.11</w:t>
                </w:r>
              </w:p>
            </w:tc>
            <w:tc>
              <w:tcPr>
                <w:tcW w:w="50" w:type="pct"/>
                <w:shd w:val="clear" w:color="auto" w:fill="CFF0FC"/>
                <w:noWrap/>
                <w:tcMar>
                  <w:top w:w="15" w:type="dxa"/>
                  <w:left w:w="0" w:type="dxa"/>
                  <w:bottom w:w="0" w:type="dxa"/>
                  <w:right w:w="15" w:type="dxa"/>
                </w:tcMar>
                <w:vAlign w:val="bottom"/>
              </w:tcPr>
              <w:p w14:paraId="5F69BE90"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76C0750C"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0574C4A" w14:textId="77777777" w:rsidR="00C21036" w:rsidRDefault="00C21036">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40168155" w14:textId="77777777" w:rsidR="00C21036" w:rsidRDefault="00C21036">
                <w:pPr>
                  <w:jc w:val="right"/>
                  <w:rPr>
                    <w:rFonts w:ascii="Calibri"/>
                    <w:color w:val="000000"/>
                    <w:sz w:val="20"/>
                  </w:rPr>
                </w:pPr>
                <w:r>
                  <w:rPr>
                    <w:rFonts w:ascii="Calibri"/>
                    <w:color w:val="000000"/>
                    <w:sz w:val="20"/>
                  </w:rPr>
                  <w:t>2.25</w:t>
                </w:r>
              </w:p>
            </w:tc>
            <w:tc>
              <w:tcPr>
                <w:tcW w:w="50" w:type="pct"/>
                <w:shd w:val="clear" w:color="auto" w:fill="CFF0FC"/>
                <w:noWrap/>
                <w:tcMar>
                  <w:top w:w="15" w:type="dxa"/>
                  <w:left w:w="0" w:type="dxa"/>
                  <w:bottom w:w="0" w:type="dxa"/>
                  <w:right w:w="15" w:type="dxa"/>
                </w:tcMar>
                <w:vAlign w:val="bottom"/>
              </w:tcPr>
              <w:p w14:paraId="3A6C7A89" w14:textId="77777777" w:rsidR="00C21036" w:rsidRDefault="00C21036">
                <w:pPr>
                  <w:rPr>
                    <w:rFonts w:ascii="Calibri"/>
                    <w:color w:val="000000"/>
                    <w:sz w:val="20"/>
                  </w:rPr>
                </w:pPr>
                <w:r>
                  <w:rPr>
                    <w:rFonts w:ascii="Calibri"/>
                    <w:color w:val="000000"/>
                    <w:sz w:val="20"/>
                  </w:rPr>
                  <w:t>%</w:t>
                </w:r>
              </w:p>
            </w:tc>
          </w:tr>
          <w:tr w:rsidR="00C21036" w14:paraId="0B75EE67" w14:textId="77777777">
            <w:trPr>
              <w:cantSplit/>
              <w:jc w:val="center"/>
            </w:trPr>
            <w:tc>
              <w:tcPr>
                <w:tcW w:w="2549" w:type="pct"/>
                <w:shd w:val="clear" w:color="auto" w:fill="FFFFFF"/>
                <w:tcMar>
                  <w:top w:w="15" w:type="dxa"/>
                  <w:left w:w="0" w:type="dxa"/>
                  <w:bottom w:w="0" w:type="dxa"/>
                  <w:right w:w="15" w:type="dxa"/>
                </w:tcMar>
              </w:tcPr>
              <w:p w14:paraId="67B9E464" w14:textId="77777777" w:rsidR="00C21036" w:rsidRDefault="00C21036" w:rsidP="0043103E">
                <w:pPr>
                  <w:keepNext/>
                  <w:rPr>
                    <w:rFonts w:ascii="Calibri"/>
                    <w:color w:val="000000"/>
                    <w:sz w:val="20"/>
                  </w:rPr>
                </w:pPr>
                <w:r>
                  <w:rPr>
                    <w:rFonts w:ascii="Calibri"/>
                    <w:color w:val="000000"/>
                    <w:sz w:val="20"/>
                  </w:rPr>
                  <w:t>Interest rate spread (4)</w:t>
                </w:r>
              </w:p>
            </w:tc>
            <w:tc>
              <w:tcPr>
                <w:tcW w:w="50" w:type="pct"/>
                <w:shd w:val="clear" w:color="auto" w:fill="FFFFFF"/>
                <w:noWrap/>
                <w:tcMar>
                  <w:top w:w="15" w:type="dxa"/>
                  <w:left w:w="0" w:type="dxa"/>
                  <w:bottom w:w="0" w:type="dxa"/>
                  <w:right w:w="15" w:type="dxa"/>
                </w:tcMar>
                <w:vAlign w:val="bottom"/>
              </w:tcPr>
              <w:p w14:paraId="617BC0A5"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639A5E7E" w14:textId="77777777" w:rsidR="00C21036" w:rsidRDefault="00C21036" w:rsidP="0043103E">
                <w:pPr>
                  <w:jc w:val="right"/>
                  <w:rPr>
                    <w:rFonts w:ascii="Calibri"/>
                    <w:color w:val="000000"/>
                    <w:sz w:val="20"/>
                  </w:rPr>
                </w:pPr>
                <w:r>
                  <w:rPr>
                    <w:rFonts w:ascii="Calibri"/>
                    <w:color w:val="000000"/>
                    <w:sz w:val="20"/>
                  </w:rPr>
                  <w:t>1.71</w:t>
                </w:r>
              </w:p>
            </w:tc>
            <w:tc>
              <w:tcPr>
                <w:tcW w:w="50" w:type="pct"/>
                <w:shd w:val="clear" w:color="auto" w:fill="FFFFFF"/>
                <w:noWrap/>
                <w:tcMar>
                  <w:top w:w="15" w:type="dxa"/>
                  <w:left w:w="0" w:type="dxa"/>
                  <w:bottom w:w="0" w:type="dxa"/>
                  <w:right w:w="15" w:type="dxa"/>
                </w:tcMar>
                <w:vAlign w:val="bottom"/>
              </w:tcPr>
              <w:p w14:paraId="3427FED6"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7D682344"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F1DEB81"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59E07AD2" w14:textId="77777777" w:rsidR="00C21036" w:rsidRDefault="00C21036" w:rsidP="0043103E">
                <w:pPr>
                  <w:jc w:val="right"/>
                  <w:rPr>
                    <w:rFonts w:ascii="Calibri"/>
                    <w:color w:val="000000"/>
                    <w:sz w:val="20"/>
                  </w:rPr>
                </w:pPr>
                <w:r>
                  <w:rPr>
                    <w:rFonts w:ascii="Calibri"/>
                    <w:color w:val="000000"/>
                    <w:sz w:val="20"/>
                  </w:rPr>
                  <w:t>1.51</w:t>
                </w:r>
              </w:p>
            </w:tc>
            <w:tc>
              <w:tcPr>
                <w:tcW w:w="50" w:type="pct"/>
                <w:shd w:val="clear" w:color="auto" w:fill="FFFFFF"/>
                <w:noWrap/>
                <w:tcMar>
                  <w:top w:w="15" w:type="dxa"/>
                  <w:left w:w="0" w:type="dxa"/>
                  <w:bottom w:w="0" w:type="dxa"/>
                  <w:right w:w="15" w:type="dxa"/>
                </w:tcMar>
                <w:vAlign w:val="bottom"/>
              </w:tcPr>
              <w:p w14:paraId="13D4A4A8"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5FBD76C1"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281AD06"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43D769AA" w14:textId="77777777" w:rsidR="00C21036" w:rsidRDefault="00C21036" w:rsidP="0043103E">
                <w:pPr>
                  <w:jc w:val="right"/>
                  <w:rPr>
                    <w:rFonts w:ascii="Calibri"/>
                    <w:color w:val="000000"/>
                    <w:sz w:val="20"/>
                  </w:rPr>
                </w:pPr>
                <w:r>
                  <w:rPr>
                    <w:rFonts w:ascii="Calibri"/>
                    <w:color w:val="000000"/>
                    <w:sz w:val="20"/>
                  </w:rPr>
                  <w:t>1.58</w:t>
                </w:r>
              </w:p>
            </w:tc>
            <w:tc>
              <w:tcPr>
                <w:tcW w:w="50" w:type="pct"/>
                <w:shd w:val="clear" w:color="auto" w:fill="FFFFFF"/>
                <w:noWrap/>
                <w:tcMar>
                  <w:top w:w="15" w:type="dxa"/>
                  <w:left w:w="0" w:type="dxa"/>
                  <w:bottom w:w="0" w:type="dxa"/>
                  <w:right w:w="15" w:type="dxa"/>
                </w:tcMar>
                <w:vAlign w:val="bottom"/>
              </w:tcPr>
              <w:p w14:paraId="39FD783A"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4BFA0EE7"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531A98D8"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3E668A02" w14:textId="77777777" w:rsidR="00C21036" w:rsidRDefault="00C21036" w:rsidP="0043103E">
                <w:pPr>
                  <w:jc w:val="right"/>
                  <w:rPr>
                    <w:rFonts w:ascii="Calibri"/>
                    <w:color w:val="000000"/>
                    <w:sz w:val="20"/>
                  </w:rPr>
                </w:pPr>
                <w:r>
                  <w:rPr>
                    <w:rFonts w:ascii="Calibri"/>
                    <w:color w:val="000000"/>
                    <w:sz w:val="20"/>
                  </w:rPr>
                  <w:t>1.54</w:t>
                </w:r>
              </w:p>
            </w:tc>
            <w:tc>
              <w:tcPr>
                <w:tcW w:w="50" w:type="pct"/>
                <w:shd w:val="clear" w:color="auto" w:fill="FFFFFF"/>
                <w:noWrap/>
                <w:tcMar>
                  <w:top w:w="15" w:type="dxa"/>
                  <w:left w:w="0" w:type="dxa"/>
                  <w:bottom w:w="0" w:type="dxa"/>
                  <w:right w:w="15" w:type="dxa"/>
                </w:tcMar>
                <w:vAlign w:val="bottom"/>
              </w:tcPr>
              <w:p w14:paraId="7EC94C02" w14:textId="77777777" w:rsidR="00C21036" w:rsidRDefault="00C21036" w:rsidP="0043103E">
                <w:pPr>
                  <w:rPr>
                    <w:rFonts w:ascii="Calibri"/>
                    <w:color w:val="000000"/>
                    <w:sz w:val="20"/>
                  </w:rPr>
                </w:pPr>
                <w:r>
                  <w:rPr>
                    <w:rFonts w:ascii="Calibri"/>
                    <w:color w:val="000000"/>
                    <w:sz w:val="20"/>
                  </w:rPr>
                  <w:t>%</w:t>
                </w:r>
              </w:p>
            </w:tc>
          </w:tr>
          <w:tr w:rsidR="00C21036" w14:paraId="27991156" w14:textId="77777777">
            <w:trPr>
              <w:cantSplit/>
              <w:jc w:val="center"/>
            </w:trPr>
            <w:tc>
              <w:tcPr>
                <w:tcW w:w="2549" w:type="pct"/>
                <w:shd w:val="clear" w:color="auto" w:fill="CFF0FC"/>
                <w:tcMar>
                  <w:top w:w="15" w:type="dxa"/>
                  <w:left w:w="0" w:type="dxa"/>
                  <w:bottom w:w="0" w:type="dxa"/>
                  <w:right w:w="15" w:type="dxa"/>
                </w:tcMar>
              </w:tcPr>
              <w:p w14:paraId="46479AB1" w14:textId="77777777" w:rsidR="00C21036" w:rsidRDefault="00C21036" w:rsidP="0043103E">
                <w:pPr>
                  <w:keepNext/>
                  <w:rPr>
                    <w:rFonts w:ascii="Calibri"/>
                    <w:color w:val="000000"/>
                    <w:sz w:val="20"/>
                  </w:rPr>
                </w:pPr>
                <w:r>
                  <w:rPr>
                    <w:rFonts w:ascii="Calibri"/>
                    <w:color w:val="000000"/>
                    <w:sz w:val="20"/>
                  </w:rPr>
                  <w:t>Net interest margin (5)</w:t>
                </w:r>
              </w:p>
            </w:tc>
            <w:tc>
              <w:tcPr>
                <w:tcW w:w="50" w:type="pct"/>
                <w:shd w:val="clear" w:color="auto" w:fill="CFF0FC"/>
                <w:noWrap/>
                <w:tcMar>
                  <w:top w:w="15" w:type="dxa"/>
                  <w:left w:w="0" w:type="dxa"/>
                  <w:bottom w:w="0" w:type="dxa"/>
                  <w:right w:w="15" w:type="dxa"/>
                </w:tcMar>
                <w:vAlign w:val="bottom"/>
              </w:tcPr>
              <w:p w14:paraId="440657C2"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4261970D" w14:textId="77777777" w:rsidR="00C21036" w:rsidRDefault="00C21036" w:rsidP="0043103E">
                <w:pPr>
                  <w:jc w:val="right"/>
                  <w:rPr>
                    <w:rFonts w:ascii="Calibri"/>
                    <w:color w:val="000000"/>
                    <w:sz w:val="20"/>
                  </w:rPr>
                </w:pPr>
                <w:r>
                  <w:rPr>
                    <w:rFonts w:ascii="Calibri"/>
                    <w:color w:val="000000"/>
                    <w:sz w:val="20"/>
                  </w:rPr>
                  <w:t>1.97</w:t>
                </w:r>
              </w:p>
            </w:tc>
            <w:tc>
              <w:tcPr>
                <w:tcW w:w="50" w:type="pct"/>
                <w:shd w:val="clear" w:color="auto" w:fill="CFF0FC"/>
                <w:noWrap/>
                <w:tcMar>
                  <w:top w:w="15" w:type="dxa"/>
                  <w:left w:w="0" w:type="dxa"/>
                  <w:bottom w:w="0" w:type="dxa"/>
                  <w:right w:w="15" w:type="dxa"/>
                </w:tcMar>
                <w:vAlign w:val="bottom"/>
              </w:tcPr>
              <w:p w14:paraId="34ECA4F1"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75807582"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C28F2C3"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29F60A78" w14:textId="77777777" w:rsidR="00C21036" w:rsidRDefault="00C21036" w:rsidP="0043103E">
                <w:pPr>
                  <w:jc w:val="right"/>
                  <w:rPr>
                    <w:rFonts w:ascii="Calibri"/>
                    <w:color w:val="000000"/>
                    <w:sz w:val="20"/>
                  </w:rPr>
                </w:pPr>
                <w:r>
                  <w:rPr>
                    <w:rFonts w:ascii="Calibri"/>
                    <w:color w:val="000000"/>
                    <w:sz w:val="20"/>
                  </w:rPr>
                  <w:t>1.74</w:t>
                </w:r>
              </w:p>
            </w:tc>
            <w:tc>
              <w:tcPr>
                <w:tcW w:w="50" w:type="pct"/>
                <w:shd w:val="clear" w:color="auto" w:fill="CFF0FC"/>
                <w:noWrap/>
                <w:tcMar>
                  <w:top w:w="15" w:type="dxa"/>
                  <w:left w:w="0" w:type="dxa"/>
                  <w:bottom w:w="0" w:type="dxa"/>
                  <w:right w:w="15" w:type="dxa"/>
                </w:tcMar>
                <w:vAlign w:val="bottom"/>
              </w:tcPr>
              <w:p w14:paraId="5EFC5916"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11F28360"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FA6C04F"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5B2C66A5" w14:textId="77777777" w:rsidR="00C21036" w:rsidRDefault="00C21036" w:rsidP="0043103E">
                <w:pPr>
                  <w:jc w:val="right"/>
                  <w:rPr>
                    <w:rFonts w:ascii="Calibri"/>
                    <w:color w:val="000000"/>
                    <w:sz w:val="20"/>
                  </w:rPr>
                </w:pPr>
                <w:r>
                  <w:rPr>
                    <w:rFonts w:ascii="Calibri"/>
                    <w:color w:val="000000"/>
                    <w:sz w:val="20"/>
                  </w:rPr>
                  <w:t>1.90</w:t>
                </w:r>
              </w:p>
            </w:tc>
            <w:tc>
              <w:tcPr>
                <w:tcW w:w="50" w:type="pct"/>
                <w:shd w:val="clear" w:color="auto" w:fill="CFF0FC"/>
                <w:noWrap/>
                <w:tcMar>
                  <w:top w:w="15" w:type="dxa"/>
                  <w:left w:w="0" w:type="dxa"/>
                  <w:bottom w:w="0" w:type="dxa"/>
                  <w:right w:w="15" w:type="dxa"/>
                </w:tcMar>
                <w:vAlign w:val="bottom"/>
              </w:tcPr>
              <w:p w14:paraId="516AC0E0"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077631A9"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C5BE387"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4C34A8A7" w14:textId="77777777" w:rsidR="00C21036" w:rsidRDefault="00C21036" w:rsidP="0043103E">
                <w:pPr>
                  <w:jc w:val="right"/>
                  <w:rPr>
                    <w:rFonts w:ascii="Calibri"/>
                    <w:color w:val="000000"/>
                    <w:sz w:val="20"/>
                  </w:rPr>
                </w:pPr>
                <w:r>
                  <w:rPr>
                    <w:rFonts w:ascii="Calibri"/>
                    <w:color w:val="000000"/>
                    <w:sz w:val="20"/>
                  </w:rPr>
                  <w:t>1.76</w:t>
                </w:r>
              </w:p>
            </w:tc>
            <w:tc>
              <w:tcPr>
                <w:tcW w:w="50" w:type="pct"/>
                <w:shd w:val="clear" w:color="auto" w:fill="CFF0FC"/>
                <w:noWrap/>
                <w:tcMar>
                  <w:top w:w="15" w:type="dxa"/>
                  <w:left w:w="0" w:type="dxa"/>
                  <w:bottom w:w="0" w:type="dxa"/>
                  <w:right w:w="15" w:type="dxa"/>
                </w:tcMar>
                <w:vAlign w:val="bottom"/>
              </w:tcPr>
              <w:p w14:paraId="1B36FD1D" w14:textId="77777777" w:rsidR="00C21036" w:rsidRDefault="00C21036" w:rsidP="0043103E">
                <w:pPr>
                  <w:rPr>
                    <w:rFonts w:ascii="Calibri"/>
                    <w:color w:val="000000"/>
                    <w:sz w:val="20"/>
                  </w:rPr>
                </w:pPr>
                <w:r>
                  <w:rPr>
                    <w:rFonts w:ascii="Calibri"/>
                    <w:color w:val="000000"/>
                    <w:sz w:val="20"/>
                  </w:rPr>
                  <w:t>%</w:t>
                </w:r>
              </w:p>
            </w:tc>
          </w:tr>
          <w:tr w:rsidR="00C21036" w14:paraId="527E29BE" w14:textId="77777777">
            <w:trPr>
              <w:cantSplit/>
              <w:jc w:val="center"/>
            </w:trPr>
            <w:tc>
              <w:tcPr>
                <w:tcW w:w="2549" w:type="pct"/>
                <w:shd w:val="clear" w:color="auto" w:fill="FFFFFF"/>
                <w:tcMar>
                  <w:top w:w="15" w:type="dxa"/>
                  <w:left w:w="0" w:type="dxa"/>
                  <w:bottom w:w="0" w:type="dxa"/>
                  <w:right w:w="15" w:type="dxa"/>
                </w:tcMar>
              </w:tcPr>
              <w:p w14:paraId="363AD4E1" w14:textId="77777777" w:rsidR="00C21036" w:rsidRDefault="00C21036" w:rsidP="0043103E">
                <w:pPr>
                  <w:keepNext/>
                  <w:rPr>
                    <w:rFonts w:ascii="Calibri"/>
                    <w:color w:val="000000"/>
                    <w:sz w:val="20"/>
                  </w:rPr>
                </w:pPr>
                <w:r>
                  <w:rPr>
                    <w:rFonts w:ascii="Calibri"/>
                    <w:color w:val="000000"/>
                    <w:sz w:val="20"/>
                  </w:rPr>
                  <w:t>Efficiency ratio (6)</w:t>
                </w:r>
              </w:p>
            </w:tc>
            <w:tc>
              <w:tcPr>
                <w:tcW w:w="50" w:type="pct"/>
                <w:shd w:val="clear" w:color="auto" w:fill="FFFFFF"/>
                <w:noWrap/>
                <w:tcMar>
                  <w:top w:w="15" w:type="dxa"/>
                  <w:left w:w="0" w:type="dxa"/>
                  <w:bottom w:w="0" w:type="dxa"/>
                  <w:right w:w="15" w:type="dxa"/>
                </w:tcMar>
                <w:vAlign w:val="bottom"/>
              </w:tcPr>
              <w:p w14:paraId="0A057DE7"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0FBBC94F" w14:textId="77777777" w:rsidR="00C21036" w:rsidRDefault="00C21036" w:rsidP="0043103E">
                <w:pPr>
                  <w:jc w:val="right"/>
                  <w:rPr>
                    <w:rFonts w:ascii="Calibri"/>
                    <w:color w:val="000000"/>
                    <w:sz w:val="20"/>
                  </w:rPr>
                </w:pPr>
                <w:r>
                  <w:rPr>
                    <w:rFonts w:ascii="Calibri"/>
                    <w:color w:val="000000"/>
                    <w:sz w:val="20"/>
                  </w:rPr>
                  <w:t>64.66</w:t>
                </w:r>
              </w:p>
            </w:tc>
            <w:tc>
              <w:tcPr>
                <w:tcW w:w="50" w:type="pct"/>
                <w:shd w:val="clear" w:color="auto" w:fill="FFFFFF"/>
                <w:noWrap/>
                <w:tcMar>
                  <w:top w:w="15" w:type="dxa"/>
                  <w:left w:w="0" w:type="dxa"/>
                  <w:bottom w:w="0" w:type="dxa"/>
                  <w:right w:w="15" w:type="dxa"/>
                </w:tcMar>
                <w:vAlign w:val="bottom"/>
              </w:tcPr>
              <w:p w14:paraId="32268CA1"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0BEDC76C"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C081FED"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1EBD8896" w14:textId="77777777" w:rsidR="00C21036" w:rsidRDefault="00C21036" w:rsidP="0043103E">
                <w:pPr>
                  <w:jc w:val="right"/>
                  <w:rPr>
                    <w:rFonts w:ascii="Calibri"/>
                    <w:color w:val="000000"/>
                    <w:sz w:val="20"/>
                  </w:rPr>
                </w:pPr>
                <w:r>
                  <w:rPr>
                    <w:rFonts w:ascii="Calibri"/>
                    <w:color w:val="000000"/>
                    <w:sz w:val="20"/>
                  </w:rPr>
                  <w:t>67.25</w:t>
                </w:r>
              </w:p>
            </w:tc>
            <w:tc>
              <w:tcPr>
                <w:tcW w:w="50" w:type="pct"/>
                <w:shd w:val="clear" w:color="auto" w:fill="FFFFFF"/>
                <w:noWrap/>
                <w:tcMar>
                  <w:top w:w="15" w:type="dxa"/>
                  <w:left w:w="0" w:type="dxa"/>
                  <w:bottom w:w="0" w:type="dxa"/>
                  <w:right w:w="15" w:type="dxa"/>
                </w:tcMar>
                <w:vAlign w:val="bottom"/>
              </w:tcPr>
              <w:p w14:paraId="682DB2E3"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3C34AAD9"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B8B0E63"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30B3D7B7" w14:textId="77777777" w:rsidR="00C21036" w:rsidRDefault="00C21036" w:rsidP="0043103E">
                <w:pPr>
                  <w:jc w:val="right"/>
                  <w:rPr>
                    <w:rFonts w:ascii="Calibri"/>
                    <w:color w:val="000000"/>
                    <w:sz w:val="20"/>
                  </w:rPr>
                </w:pPr>
                <w:r>
                  <w:rPr>
                    <w:rFonts w:ascii="Calibri"/>
                    <w:color w:val="000000"/>
                    <w:sz w:val="20"/>
                  </w:rPr>
                  <w:t>87.82</w:t>
                </w:r>
              </w:p>
            </w:tc>
            <w:tc>
              <w:tcPr>
                <w:tcW w:w="50" w:type="pct"/>
                <w:shd w:val="clear" w:color="auto" w:fill="FFFFFF"/>
                <w:noWrap/>
                <w:tcMar>
                  <w:top w:w="15" w:type="dxa"/>
                  <w:left w:w="0" w:type="dxa"/>
                  <w:bottom w:w="0" w:type="dxa"/>
                  <w:right w:w="15" w:type="dxa"/>
                </w:tcMar>
                <w:vAlign w:val="bottom"/>
              </w:tcPr>
              <w:p w14:paraId="7E674298"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5A72CD7C"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141E917"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5897BF11" w14:textId="77777777" w:rsidR="00C21036" w:rsidRDefault="00C21036" w:rsidP="0043103E">
                <w:pPr>
                  <w:jc w:val="right"/>
                  <w:rPr>
                    <w:rFonts w:ascii="Calibri"/>
                    <w:color w:val="000000"/>
                    <w:sz w:val="20"/>
                  </w:rPr>
                </w:pPr>
                <w:r>
                  <w:rPr>
                    <w:rFonts w:ascii="Calibri"/>
                    <w:color w:val="000000"/>
                    <w:sz w:val="20"/>
                  </w:rPr>
                  <w:t>74.89</w:t>
                </w:r>
              </w:p>
            </w:tc>
            <w:tc>
              <w:tcPr>
                <w:tcW w:w="50" w:type="pct"/>
                <w:shd w:val="clear" w:color="auto" w:fill="FFFFFF"/>
                <w:noWrap/>
                <w:tcMar>
                  <w:top w:w="15" w:type="dxa"/>
                  <w:left w:w="0" w:type="dxa"/>
                  <w:bottom w:w="0" w:type="dxa"/>
                  <w:right w:w="15" w:type="dxa"/>
                </w:tcMar>
                <w:vAlign w:val="bottom"/>
              </w:tcPr>
              <w:p w14:paraId="5089D35B" w14:textId="77777777" w:rsidR="00C21036" w:rsidRDefault="00C21036" w:rsidP="0043103E">
                <w:pPr>
                  <w:rPr>
                    <w:rFonts w:ascii="Calibri"/>
                    <w:color w:val="000000"/>
                    <w:sz w:val="20"/>
                  </w:rPr>
                </w:pPr>
                <w:r>
                  <w:rPr>
                    <w:rFonts w:ascii="Calibri"/>
                    <w:color w:val="000000"/>
                    <w:sz w:val="20"/>
                  </w:rPr>
                  <w:t>%</w:t>
                </w:r>
              </w:p>
            </w:tc>
          </w:tr>
          <w:tr w:rsidR="00C21036" w14:paraId="16A2588A" w14:textId="77777777">
            <w:trPr>
              <w:cantSplit/>
              <w:jc w:val="center"/>
            </w:trPr>
            <w:tc>
              <w:tcPr>
                <w:tcW w:w="2549" w:type="pct"/>
                <w:shd w:val="clear" w:color="auto" w:fill="CFF0FC"/>
                <w:tcMar>
                  <w:top w:w="15" w:type="dxa"/>
                  <w:left w:w="0" w:type="dxa"/>
                  <w:bottom w:w="0" w:type="dxa"/>
                  <w:right w:w="15" w:type="dxa"/>
                </w:tcMar>
              </w:tcPr>
              <w:p w14:paraId="4D143623" w14:textId="77777777" w:rsidR="00C21036" w:rsidRDefault="00C21036" w:rsidP="0043103E">
                <w:pPr>
                  <w:keepNext/>
                  <w:rPr>
                    <w:rFonts w:ascii="Calibri"/>
                    <w:color w:val="000000"/>
                    <w:sz w:val="20"/>
                  </w:rPr>
                </w:pPr>
                <w:r>
                  <w:rPr>
                    <w:rFonts w:ascii="Calibri"/>
                    <w:color w:val="000000"/>
                    <w:sz w:val="20"/>
                  </w:rPr>
                  <w:t>Average interest-earning assets to average interest-bearing liabilities</w:t>
                </w:r>
              </w:p>
            </w:tc>
            <w:tc>
              <w:tcPr>
                <w:tcW w:w="50" w:type="pct"/>
                <w:shd w:val="clear" w:color="auto" w:fill="CFF0FC"/>
                <w:noWrap/>
                <w:tcMar>
                  <w:top w:w="15" w:type="dxa"/>
                  <w:left w:w="0" w:type="dxa"/>
                  <w:bottom w:w="0" w:type="dxa"/>
                  <w:right w:w="15" w:type="dxa"/>
                </w:tcMar>
                <w:vAlign w:val="bottom"/>
              </w:tcPr>
              <w:p w14:paraId="1B6DCDEF"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5E820EE8" w14:textId="77777777" w:rsidR="00C21036" w:rsidRDefault="00C21036" w:rsidP="0043103E">
                <w:pPr>
                  <w:jc w:val="right"/>
                  <w:rPr>
                    <w:rFonts w:ascii="Calibri"/>
                    <w:color w:val="000000"/>
                    <w:sz w:val="20"/>
                  </w:rPr>
                </w:pPr>
                <w:r>
                  <w:rPr>
                    <w:rFonts w:ascii="Calibri"/>
                    <w:color w:val="000000"/>
                    <w:sz w:val="20"/>
                  </w:rPr>
                  <w:t>121.75</w:t>
                </w:r>
              </w:p>
            </w:tc>
            <w:tc>
              <w:tcPr>
                <w:tcW w:w="50" w:type="pct"/>
                <w:shd w:val="clear" w:color="auto" w:fill="CFF0FC"/>
                <w:noWrap/>
                <w:tcMar>
                  <w:top w:w="15" w:type="dxa"/>
                  <w:left w:w="0" w:type="dxa"/>
                  <w:bottom w:w="0" w:type="dxa"/>
                  <w:right w:w="15" w:type="dxa"/>
                </w:tcMar>
                <w:vAlign w:val="bottom"/>
              </w:tcPr>
              <w:p w14:paraId="3E82C641"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39FC7BA3"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61FF5C2"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3323C947" w14:textId="77777777" w:rsidR="00C21036" w:rsidRDefault="00C21036" w:rsidP="0043103E">
                <w:pPr>
                  <w:jc w:val="right"/>
                  <w:rPr>
                    <w:rFonts w:ascii="Calibri"/>
                    <w:color w:val="000000"/>
                    <w:sz w:val="20"/>
                  </w:rPr>
                </w:pPr>
                <w:r>
                  <w:rPr>
                    <w:rFonts w:ascii="Calibri"/>
                    <w:color w:val="000000"/>
                    <w:sz w:val="20"/>
                  </w:rPr>
                  <w:t>112.06</w:t>
                </w:r>
              </w:p>
            </w:tc>
            <w:tc>
              <w:tcPr>
                <w:tcW w:w="50" w:type="pct"/>
                <w:shd w:val="clear" w:color="auto" w:fill="CFF0FC"/>
                <w:noWrap/>
                <w:tcMar>
                  <w:top w:w="15" w:type="dxa"/>
                  <w:left w:w="0" w:type="dxa"/>
                  <w:bottom w:w="0" w:type="dxa"/>
                  <w:right w:w="15" w:type="dxa"/>
                </w:tcMar>
                <w:vAlign w:val="bottom"/>
              </w:tcPr>
              <w:p w14:paraId="7EED6C4D"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7560B90F"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AA874A7"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4B8FFC6A" w14:textId="77777777" w:rsidR="00C21036" w:rsidRDefault="00C21036" w:rsidP="0043103E">
                <w:pPr>
                  <w:jc w:val="right"/>
                  <w:rPr>
                    <w:rFonts w:ascii="Calibri"/>
                    <w:color w:val="000000"/>
                    <w:sz w:val="20"/>
                  </w:rPr>
                </w:pPr>
                <w:r>
                  <w:rPr>
                    <w:rFonts w:ascii="Calibri"/>
                    <w:color w:val="000000"/>
                    <w:sz w:val="20"/>
                  </w:rPr>
                  <w:t>121.94</w:t>
                </w:r>
              </w:p>
            </w:tc>
            <w:tc>
              <w:tcPr>
                <w:tcW w:w="50" w:type="pct"/>
                <w:shd w:val="clear" w:color="auto" w:fill="CFF0FC"/>
                <w:noWrap/>
                <w:tcMar>
                  <w:top w:w="15" w:type="dxa"/>
                  <w:left w:w="0" w:type="dxa"/>
                  <w:bottom w:w="0" w:type="dxa"/>
                  <w:right w:w="15" w:type="dxa"/>
                </w:tcMar>
                <w:vAlign w:val="bottom"/>
              </w:tcPr>
              <w:p w14:paraId="6DD34EDD"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5E8564C0"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E770C51" w14:textId="77777777" w:rsidR="00C21036" w:rsidRDefault="00C21036">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78204ED9" w14:textId="77777777" w:rsidR="00C21036" w:rsidRDefault="00C21036">
                <w:pPr>
                  <w:jc w:val="right"/>
                  <w:rPr>
                    <w:rFonts w:ascii="Calibri"/>
                    <w:color w:val="000000"/>
                    <w:sz w:val="20"/>
                  </w:rPr>
                </w:pPr>
                <w:r>
                  <w:rPr>
                    <w:rFonts w:ascii="Calibri"/>
                    <w:color w:val="000000"/>
                    <w:sz w:val="20"/>
                  </w:rPr>
                  <w:t>112.00</w:t>
                </w:r>
              </w:p>
            </w:tc>
            <w:tc>
              <w:tcPr>
                <w:tcW w:w="50" w:type="pct"/>
                <w:shd w:val="clear" w:color="auto" w:fill="CFF0FC"/>
                <w:noWrap/>
                <w:tcMar>
                  <w:top w:w="15" w:type="dxa"/>
                  <w:left w:w="0" w:type="dxa"/>
                  <w:bottom w:w="0" w:type="dxa"/>
                  <w:right w:w="15" w:type="dxa"/>
                </w:tcMar>
                <w:vAlign w:val="bottom"/>
              </w:tcPr>
              <w:p w14:paraId="0A7DC95B" w14:textId="77777777" w:rsidR="00C21036" w:rsidRDefault="00C21036">
                <w:pPr>
                  <w:rPr>
                    <w:rFonts w:ascii="Calibri"/>
                    <w:color w:val="000000"/>
                    <w:sz w:val="20"/>
                  </w:rPr>
                </w:pPr>
                <w:r>
                  <w:rPr>
                    <w:rFonts w:ascii="Calibri"/>
                    <w:color w:val="000000"/>
                    <w:sz w:val="20"/>
                  </w:rPr>
                  <w:t>%</w:t>
                </w:r>
              </w:p>
            </w:tc>
          </w:tr>
          <w:tr w:rsidR="00C21036" w14:paraId="7185D907" w14:textId="77777777">
            <w:trPr>
              <w:cantSplit/>
              <w:jc w:val="center"/>
            </w:trPr>
            <w:tc>
              <w:tcPr>
                <w:tcW w:w="2549" w:type="pct"/>
                <w:shd w:val="clear" w:color="auto" w:fill="FFFFFF"/>
                <w:tcMar>
                  <w:top w:w="15" w:type="dxa"/>
                  <w:left w:w="0" w:type="dxa"/>
                  <w:bottom w:w="0" w:type="dxa"/>
                  <w:right w:w="15" w:type="dxa"/>
                </w:tcMar>
              </w:tcPr>
              <w:p w14:paraId="6D2B6D9D" w14:textId="77777777" w:rsidR="00C21036" w:rsidRDefault="00C21036" w:rsidP="0043103E">
                <w:pPr>
                  <w:keepNext/>
                  <w:rPr>
                    <w:rFonts w:ascii="Calibri"/>
                    <w:color w:val="000000"/>
                    <w:sz w:val="20"/>
                  </w:rPr>
                </w:pPr>
                <w:r>
                  <w:rPr>
                    <w:rFonts w:ascii="Calibri"/>
                    <w:color w:val="000000"/>
                    <w:sz w:val="20"/>
                  </w:rPr>
                  <w:t>Net loans to deposits</w:t>
                </w:r>
              </w:p>
            </w:tc>
            <w:tc>
              <w:tcPr>
                <w:tcW w:w="50" w:type="pct"/>
                <w:shd w:val="clear" w:color="auto" w:fill="FFFFFF"/>
                <w:noWrap/>
                <w:tcMar>
                  <w:top w:w="15" w:type="dxa"/>
                  <w:left w:w="0" w:type="dxa"/>
                  <w:bottom w:w="0" w:type="dxa"/>
                  <w:right w:w="15" w:type="dxa"/>
                </w:tcMar>
                <w:vAlign w:val="bottom"/>
              </w:tcPr>
              <w:p w14:paraId="361904D1"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78DA853D" w14:textId="77777777" w:rsidR="00C21036" w:rsidRDefault="00C21036" w:rsidP="0043103E">
                <w:pPr>
                  <w:jc w:val="right"/>
                  <w:rPr>
                    <w:rFonts w:ascii="Calibri"/>
                    <w:color w:val="000000"/>
                    <w:sz w:val="20"/>
                  </w:rPr>
                </w:pPr>
                <w:r>
                  <w:rPr>
                    <w:rFonts w:ascii="Calibri"/>
                    <w:color w:val="000000"/>
                    <w:sz w:val="20"/>
                  </w:rPr>
                  <w:t>114.28</w:t>
                </w:r>
              </w:p>
            </w:tc>
            <w:tc>
              <w:tcPr>
                <w:tcW w:w="50" w:type="pct"/>
                <w:shd w:val="clear" w:color="auto" w:fill="FFFFFF"/>
                <w:noWrap/>
                <w:tcMar>
                  <w:top w:w="15" w:type="dxa"/>
                  <w:left w:w="0" w:type="dxa"/>
                  <w:bottom w:w="0" w:type="dxa"/>
                  <w:right w:w="15" w:type="dxa"/>
                </w:tcMar>
                <w:vAlign w:val="bottom"/>
              </w:tcPr>
              <w:p w14:paraId="723661A7"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2B4D4479"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E4892B9"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5131A8F5" w14:textId="77777777" w:rsidR="00C21036" w:rsidRDefault="00C21036" w:rsidP="0043103E">
                <w:pPr>
                  <w:jc w:val="right"/>
                  <w:rPr>
                    <w:rFonts w:ascii="Calibri"/>
                    <w:color w:val="000000"/>
                    <w:sz w:val="20"/>
                  </w:rPr>
                </w:pPr>
                <w:r>
                  <w:rPr>
                    <w:rFonts w:ascii="Calibri"/>
                    <w:color w:val="000000"/>
                    <w:sz w:val="20"/>
                  </w:rPr>
                  <w:t>113.11</w:t>
                </w:r>
              </w:p>
            </w:tc>
            <w:tc>
              <w:tcPr>
                <w:tcW w:w="50" w:type="pct"/>
                <w:shd w:val="clear" w:color="auto" w:fill="FFFFFF"/>
                <w:noWrap/>
                <w:tcMar>
                  <w:top w:w="15" w:type="dxa"/>
                  <w:left w:w="0" w:type="dxa"/>
                  <w:bottom w:w="0" w:type="dxa"/>
                  <w:right w:w="15" w:type="dxa"/>
                </w:tcMar>
                <w:vAlign w:val="bottom"/>
              </w:tcPr>
              <w:p w14:paraId="792BB277"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1C6A7BEA"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C207D13"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456B1D2A" w14:textId="77777777" w:rsidR="00C21036" w:rsidRDefault="00C21036" w:rsidP="0043103E">
                <w:pPr>
                  <w:jc w:val="right"/>
                  <w:rPr>
                    <w:rFonts w:ascii="Calibri"/>
                    <w:color w:val="000000"/>
                    <w:sz w:val="20"/>
                  </w:rPr>
                </w:pPr>
                <w:r>
                  <w:rPr>
                    <w:rFonts w:ascii="Calibri"/>
                    <w:color w:val="000000"/>
                    <w:sz w:val="20"/>
                  </w:rPr>
                  <w:t>114.28</w:t>
                </w:r>
              </w:p>
            </w:tc>
            <w:tc>
              <w:tcPr>
                <w:tcW w:w="50" w:type="pct"/>
                <w:shd w:val="clear" w:color="auto" w:fill="FFFFFF"/>
                <w:noWrap/>
                <w:tcMar>
                  <w:top w:w="15" w:type="dxa"/>
                  <w:left w:w="0" w:type="dxa"/>
                  <w:bottom w:w="0" w:type="dxa"/>
                  <w:right w:w="15" w:type="dxa"/>
                </w:tcMar>
                <w:vAlign w:val="bottom"/>
              </w:tcPr>
              <w:p w14:paraId="394AB73D"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026476FB"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3352A29" w14:textId="77777777" w:rsidR="00C21036" w:rsidRDefault="00C21036">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099F62D5" w14:textId="77777777" w:rsidR="00C21036" w:rsidRDefault="00C21036">
                <w:pPr>
                  <w:jc w:val="right"/>
                  <w:rPr>
                    <w:rFonts w:ascii="Calibri"/>
                    <w:color w:val="000000"/>
                    <w:sz w:val="20"/>
                  </w:rPr>
                </w:pPr>
                <w:r>
                  <w:rPr>
                    <w:rFonts w:ascii="Calibri"/>
                    <w:color w:val="000000"/>
                    <w:sz w:val="20"/>
                  </w:rPr>
                  <w:t>11.00</w:t>
                </w:r>
              </w:p>
            </w:tc>
            <w:tc>
              <w:tcPr>
                <w:tcW w:w="50" w:type="pct"/>
                <w:shd w:val="clear" w:color="auto" w:fill="FFFFFF"/>
                <w:noWrap/>
                <w:tcMar>
                  <w:top w:w="15" w:type="dxa"/>
                  <w:left w:w="0" w:type="dxa"/>
                  <w:bottom w:w="0" w:type="dxa"/>
                  <w:right w:w="15" w:type="dxa"/>
                </w:tcMar>
                <w:vAlign w:val="bottom"/>
              </w:tcPr>
              <w:p w14:paraId="429F3A21" w14:textId="77777777" w:rsidR="00C21036" w:rsidRDefault="00C21036">
                <w:pPr>
                  <w:rPr>
                    <w:rFonts w:ascii="Calibri"/>
                    <w:color w:val="000000"/>
                    <w:sz w:val="20"/>
                  </w:rPr>
                </w:pPr>
                <w:r>
                  <w:rPr>
                    <w:rFonts w:ascii="Calibri"/>
                    <w:color w:val="000000"/>
                    <w:sz w:val="20"/>
                  </w:rPr>
                  <w:t>%</w:t>
                </w:r>
              </w:p>
            </w:tc>
          </w:tr>
          <w:tr w:rsidR="00C21036" w14:paraId="6A38C1B0" w14:textId="77777777">
            <w:trPr>
              <w:cantSplit/>
              <w:jc w:val="center"/>
            </w:trPr>
            <w:tc>
              <w:tcPr>
                <w:tcW w:w="2549" w:type="pct"/>
                <w:shd w:val="clear" w:color="auto" w:fill="CFF0FC"/>
                <w:tcMar>
                  <w:top w:w="15" w:type="dxa"/>
                  <w:left w:w="0" w:type="dxa"/>
                  <w:bottom w:w="0" w:type="dxa"/>
                  <w:right w:w="15" w:type="dxa"/>
                </w:tcMar>
              </w:tcPr>
              <w:p w14:paraId="36E3E7F7" w14:textId="77777777" w:rsidR="00C21036" w:rsidRDefault="00C21036" w:rsidP="0043103E">
                <w:pPr>
                  <w:keepNext/>
                  <w:rPr>
                    <w:rFonts w:ascii="Calibri"/>
                    <w:color w:val="000000"/>
                    <w:sz w:val="20"/>
                  </w:rPr>
                </w:pPr>
                <w:r>
                  <w:rPr>
                    <w:rFonts w:ascii="Calibri"/>
                    <w:color w:val="000000"/>
                    <w:sz w:val="20"/>
                  </w:rPr>
                  <w:t>Equity to assets (7)</w:t>
                </w:r>
              </w:p>
            </w:tc>
            <w:tc>
              <w:tcPr>
                <w:tcW w:w="50" w:type="pct"/>
                <w:shd w:val="clear" w:color="auto" w:fill="CFF0FC"/>
                <w:noWrap/>
                <w:tcMar>
                  <w:top w:w="15" w:type="dxa"/>
                  <w:left w:w="0" w:type="dxa"/>
                  <w:bottom w:w="0" w:type="dxa"/>
                  <w:right w:w="15" w:type="dxa"/>
                </w:tcMar>
                <w:vAlign w:val="bottom"/>
              </w:tcPr>
              <w:p w14:paraId="6046C379"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15C5E382" w14:textId="77777777" w:rsidR="00C21036" w:rsidRDefault="00C21036" w:rsidP="0043103E">
                <w:pPr>
                  <w:jc w:val="right"/>
                  <w:rPr>
                    <w:rFonts w:ascii="Calibri"/>
                    <w:color w:val="000000"/>
                    <w:sz w:val="20"/>
                  </w:rPr>
                </w:pPr>
                <w:r>
                  <w:rPr>
                    <w:rFonts w:ascii="Calibri"/>
                    <w:color w:val="000000"/>
                    <w:sz w:val="20"/>
                  </w:rPr>
                  <w:t>16.85</w:t>
                </w:r>
              </w:p>
            </w:tc>
            <w:tc>
              <w:tcPr>
                <w:tcW w:w="50" w:type="pct"/>
                <w:shd w:val="clear" w:color="auto" w:fill="CFF0FC"/>
                <w:noWrap/>
                <w:tcMar>
                  <w:top w:w="15" w:type="dxa"/>
                  <w:left w:w="0" w:type="dxa"/>
                  <w:bottom w:w="0" w:type="dxa"/>
                  <w:right w:w="15" w:type="dxa"/>
                </w:tcMar>
                <w:vAlign w:val="bottom"/>
              </w:tcPr>
              <w:p w14:paraId="63B5B0F1"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4C51E8AA"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D5796CC"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24411688" w14:textId="77777777" w:rsidR="00C21036" w:rsidRDefault="00C21036" w:rsidP="0043103E">
                <w:pPr>
                  <w:jc w:val="right"/>
                  <w:rPr>
                    <w:rFonts w:ascii="Calibri"/>
                    <w:color w:val="000000"/>
                    <w:sz w:val="20"/>
                  </w:rPr>
                </w:pPr>
                <w:r>
                  <w:rPr>
                    <w:rFonts w:ascii="Calibri"/>
                    <w:color w:val="000000"/>
                    <w:sz w:val="20"/>
                  </w:rPr>
                  <w:t>11.14</w:t>
                </w:r>
              </w:p>
            </w:tc>
            <w:tc>
              <w:tcPr>
                <w:tcW w:w="50" w:type="pct"/>
                <w:shd w:val="clear" w:color="auto" w:fill="CFF0FC"/>
                <w:noWrap/>
                <w:tcMar>
                  <w:top w:w="15" w:type="dxa"/>
                  <w:left w:w="0" w:type="dxa"/>
                  <w:bottom w:w="0" w:type="dxa"/>
                  <w:right w:w="15" w:type="dxa"/>
                </w:tcMar>
                <w:vAlign w:val="bottom"/>
              </w:tcPr>
              <w:p w14:paraId="700A3426"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527F805A"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06BE1ED"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45C703C9" w14:textId="77777777" w:rsidR="00C21036" w:rsidRDefault="00C21036" w:rsidP="0043103E">
                <w:pPr>
                  <w:jc w:val="right"/>
                  <w:rPr>
                    <w:rFonts w:ascii="Calibri"/>
                    <w:color w:val="000000"/>
                    <w:sz w:val="20"/>
                  </w:rPr>
                </w:pPr>
                <w:r>
                  <w:rPr>
                    <w:rFonts w:ascii="Calibri"/>
                    <w:color w:val="000000"/>
                    <w:sz w:val="20"/>
                  </w:rPr>
                  <w:t>16.85</w:t>
                </w:r>
              </w:p>
            </w:tc>
            <w:tc>
              <w:tcPr>
                <w:tcW w:w="50" w:type="pct"/>
                <w:shd w:val="clear" w:color="auto" w:fill="CFF0FC"/>
                <w:noWrap/>
                <w:tcMar>
                  <w:top w:w="15" w:type="dxa"/>
                  <w:left w:w="0" w:type="dxa"/>
                  <w:bottom w:w="0" w:type="dxa"/>
                  <w:right w:w="15" w:type="dxa"/>
                </w:tcMar>
                <w:vAlign w:val="bottom"/>
              </w:tcPr>
              <w:p w14:paraId="7EE902D2"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4C1E1E8F"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A873FEC"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71AC10C1" w14:textId="77777777" w:rsidR="00C21036" w:rsidRDefault="00C21036" w:rsidP="0043103E">
                <w:pPr>
                  <w:jc w:val="right"/>
                  <w:rPr>
                    <w:rFonts w:ascii="Calibri"/>
                    <w:color w:val="000000"/>
                    <w:sz w:val="20"/>
                  </w:rPr>
                </w:pPr>
                <w:r>
                  <w:rPr>
                    <w:rFonts w:ascii="Calibri"/>
                    <w:color w:val="000000"/>
                    <w:sz w:val="20"/>
                  </w:rPr>
                  <w:t>11.38</w:t>
                </w:r>
              </w:p>
            </w:tc>
            <w:tc>
              <w:tcPr>
                <w:tcW w:w="50" w:type="pct"/>
                <w:shd w:val="clear" w:color="auto" w:fill="CFF0FC"/>
                <w:noWrap/>
                <w:tcMar>
                  <w:top w:w="15" w:type="dxa"/>
                  <w:left w:w="0" w:type="dxa"/>
                  <w:bottom w:w="0" w:type="dxa"/>
                  <w:right w:w="15" w:type="dxa"/>
                </w:tcMar>
                <w:vAlign w:val="bottom"/>
              </w:tcPr>
              <w:p w14:paraId="710BBC03" w14:textId="77777777" w:rsidR="00C21036" w:rsidRDefault="00C21036" w:rsidP="0043103E">
                <w:pPr>
                  <w:rPr>
                    <w:rFonts w:ascii="Calibri"/>
                    <w:color w:val="000000"/>
                    <w:sz w:val="20"/>
                  </w:rPr>
                </w:pPr>
                <w:r>
                  <w:rPr>
                    <w:rFonts w:ascii="Calibri"/>
                    <w:color w:val="000000"/>
                    <w:sz w:val="20"/>
                  </w:rPr>
                  <w:t>%</w:t>
                </w:r>
              </w:p>
            </w:tc>
          </w:tr>
          <w:tr w:rsidR="00C21036" w14:paraId="50CC6479" w14:textId="77777777">
            <w:trPr>
              <w:cantSplit/>
              <w:jc w:val="center"/>
            </w:trPr>
            <w:tc>
              <w:tcPr>
                <w:tcW w:w="2549" w:type="pct"/>
                <w:shd w:val="clear" w:color="auto" w:fill="FFFFFF"/>
                <w:tcMar>
                  <w:top w:w="15" w:type="dxa"/>
                  <w:left w:w="0" w:type="dxa"/>
                  <w:bottom w:w="0" w:type="dxa"/>
                  <w:right w:w="15" w:type="dxa"/>
                </w:tcMar>
              </w:tcPr>
              <w:p w14:paraId="1E6B6DDB" w14:textId="77777777" w:rsidR="00C21036" w:rsidRDefault="00C21036" w:rsidP="0043103E">
                <w:pPr>
                  <w:keepNext/>
                  <w:rPr>
                    <w:rFonts w:ascii="Calibri"/>
                    <w:b/>
                    <w:color w:val="000000"/>
                    <w:sz w:val="20"/>
                  </w:rPr>
                </w:pPr>
                <w:r>
                  <w:rPr>
                    <w:rFonts w:ascii="Calibri"/>
                    <w:b/>
                    <w:color w:val="000000"/>
                    <w:sz w:val="20"/>
                  </w:rPr>
                  <w:t>Capital Ratios:</w:t>
                </w:r>
              </w:p>
            </w:tc>
            <w:tc>
              <w:tcPr>
                <w:tcW w:w="50" w:type="pct"/>
                <w:shd w:val="clear" w:color="auto" w:fill="FFFFFF"/>
                <w:noWrap/>
                <w:tcMar>
                  <w:top w:w="15" w:type="dxa"/>
                  <w:left w:w="0" w:type="dxa"/>
                  <w:bottom w:w="0" w:type="dxa"/>
                  <w:right w:w="15" w:type="dxa"/>
                </w:tcMar>
                <w:vAlign w:val="bottom"/>
              </w:tcPr>
              <w:p w14:paraId="1A623A23"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455D0072"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BE6E3F1"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03C355D1"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7BFEE6A"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192A6141"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9E1C120"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34BA992E"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5934828"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2E442D8E"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894605B"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3F412646"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1663381"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08D2C12C"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8495847" w14:textId="77777777" w:rsidR="00C21036" w:rsidRDefault="00C21036" w:rsidP="0043103E">
                <w:pPr>
                  <w:rPr>
                    <w:rFonts w:ascii="Calibri"/>
                    <w:color w:val="000000"/>
                    <w:sz w:val="20"/>
                  </w:rPr>
                </w:pPr>
                <w:r>
                  <w:rPr>
                    <w:rFonts w:ascii="Calibri"/>
                    <w:color w:val="000000"/>
                    <w:sz w:val="20"/>
                  </w:rPr>
                  <w:t xml:space="preserve"> </w:t>
                </w:r>
              </w:p>
            </w:tc>
          </w:tr>
          <w:tr w:rsidR="00C21036" w14:paraId="60D974B7" w14:textId="77777777">
            <w:trPr>
              <w:cantSplit/>
              <w:jc w:val="center"/>
            </w:trPr>
            <w:tc>
              <w:tcPr>
                <w:tcW w:w="2549" w:type="pct"/>
                <w:shd w:val="clear" w:color="auto" w:fill="CFF0FC"/>
                <w:tcMar>
                  <w:top w:w="15" w:type="dxa"/>
                  <w:left w:w="0" w:type="dxa"/>
                  <w:bottom w:w="0" w:type="dxa"/>
                  <w:right w:w="15" w:type="dxa"/>
                </w:tcMar>
              </w:tcPr>
              <w:p w14:paraId="4C375723" w14:textId="77777777" w:rsidR="00C21036" w:rsidRDefault="00C21036" w:rsidP="0043103E">
                <w:pPr>
                  <w:keepNext/>
                  <w:rPr>
                    <w:rFonts w:ascii="Calibri"/>
                    <w:color w:val="000000"/>
                    <w:sz w:val="20"/>
                  </w:rPr>
                </w:pPr>
                <w:r>
                  <w:rPr>
                    <w:rFonts w:ascii="Calibri"/>
                    <w:color w:val="000000"/>
                    <w:sz w:val="20"/>
                  </w:rPr>
                  <w:t>Tier 1 capital (to adjusted total assets)</w:t>
                </w:r>
              </w:p>
            </w:tc>
            <w:tc>
              <w:tcPr>
                <w:tcW w:w="50" w:type="pct"/>
                <w:shd w:val="clear" w:color="auto" w:fill="CFF0FC"/>
                <w:noWrap/>
                <w:tcMar>
                  <w:top w:w="15" w:type="dxa"/>
                  <w:left w:w="0" w:type="dxa"/>
                  <w:bottom w:w="0" w:type="dxa"/>
                  <w:right w:w="15" w:type="dxa"/>
                </w:tcMar>
                <w:vAlign w:val="bottom"/>
              </w:tcPr>
              <w:p w14:paraId="0216CA1D"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3F545955"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1F3DE76"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23AA1169"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E6AB9FE"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6F6E1EBC"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E9E0DDA"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40865244"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C0ECE18"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5F05754A" w14:textId="77777777" w:rsidR="00C21036" w:rsidRDefault="00C21036" w:rsidP="0043103E">
                <w:pPr>
                  <w:jc w:val="right"/>
                  <w:rPr>
                    <w:rFonts w:ascii="Calibri"/>
                    <w:color w:val="000000"/>
                    <w:sz w:val="20"/>
                  </w:rPr>
                </w:pPr>
                <w:r>
                  <w:rPr>
                    <w:rFonts w:ascii="Calibri"/>
                    <w:color w:val="000000"/>
                    <w:sz w:val="20"/>
                  </w:rPr>
                  <w:t>26.27</w:t>
                </w:r>
              </w:p>
            </w:tc>
            <w:tc>
              <w:tcPr>
                <w:tcW w:w="50" w:type="pct"/>
                <w:shd w:val="clear" w:color="auto" w:fill="CFF0FC"/>
                <w:noWrap/>
                <w:tcMar>
                  <w:top w:w="15" w:type="dxa"/>
                  <w:left w:w="0" w:type="dxa"/>
                  <w:bottom w:w="0" w:type="dxa"/>
                  <w:right w:w="15" w:type="dxa"/>
                </w:tcMar>
                <w:vAlign w:val="bottom"/>
              </w:tcPr>
              <w:p w14:paraId="6F717A69"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6F7208E0"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4CB6799"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0A52138E" w14:textId="77777777" w:rsidR="00C21036" w:rsidRDefault="00C21036" w:rsidP="0043103E">
                <w:pPr>
                  <w:jc w:val="right"/>
                  <w:rPr>
                    <w:rFonts w:ascii="Calibri"/>
                    <w:color w:val="000000"/>
                    <w:sz w:val="20"/>
                  </w:rPr>
                </w:pPr>
                <w:r>
                  <w:rPr>
                    <w:rFonts w:ascii="Calibri"/>
                    <w:color w:val="000000"/>
                    <w:sz w:val="20"/>
                  </w:rPr>
                  <w:t>11.26</w:t>
                </w:r>
              </w:p>
            </w:tc>
            <w:tc>
              <w:tcPr>
                <w:tcW w:w="50" w:type="pct"/>
                <w:shd w:val="clear" w:color="auto" w:fill="CFF0FC"/>
                <w:noWrap/>
                <w:tcMar>
                  <w:top w:w="15" w:type="dxa"/>
                  <w:left w:w="0" w:type="dxa"/>
                  <w:bottom w:w="0" w:type="dxa"/>
                  <w:right w:w="15" w:type="dxa"/>
                </w:tcMar>
                <w:vAlign w:val="bottom"/>
              </w:tcPr>
              <w:p w14:paraId="09C4E031" w14:textId="77777777" w:rsidR="00C21036" w:rsidRDefault="00C21036" w:rsidP="0043103E">
                <w:pPr>
                  <w:rPr>
                    <w:rFonts w:ascii="Calibri"/>
                    <w:color w:val="000000"/>
                    <w:sz w:val="20"/>
                  </w:rPr>
                </w:pPr>
                <w:r>
                  <w:rPr>
                    <w:rFonts w:ascii="Calibri"/>
                    <w:color w:val="000000"/>
                    <w:sz w:val="20"/>
                  </w:rPr>
                  <w:t>%</w:t>
                </w:r>
              </w:p>
            </w:tc>
          </w:tr>
          <w:tr w:rsidR="00C21036" w14:paraId="05FA889E" w14:textId="77777777">
            <w:trPr>
              <w:cantSplit/>
              <w:jc w:val="center"/>
            </w:trPr>
            <w:tc>
              <w:tcPr>
                <w:tcW w:w="2549" w:type="pct"/>
                <w:shd w:val="clear" w:color="auto" w:fill="FFFFFF"/>
                <w:tcMar>
                  <w:top w:w="15" w:type="dxa"/>
                  <w:left w:w="0" w:type="dxa"/>
                  <w:bottom w:w="0" w:type="dxa"/>
                  <w:right w:w="15" w:type="dxa"/>
                </w:tcMar>
              </w:tcPr>
              <w:p w14:paraId="115F842C" w14:textId="77777777" w:rsidR="00C21036" w:rsidRDefault="00C21036" w:rsidP="0043103E">
                <w:pPr>
                  <w:keepNext/>
                  <w:rPr>
                    <w:rFonts w:ascii="Calibri"/>
                    <w:color w:val="000000"/>
                    <w:sz w:val="20"/>
                  </w:rPr>
                </w:pPr>
                <w:r>
                  <w:rPr>
                    <w:rFonts w:ascii="Calibri"/>
                    <w:color w:val="000000"/>
                    <w:sz w:val="20"/>
                  </w:rPr>
                  <w:t>Tier 1 capital (to risk-weighted assets)</w:t>
                </w:r>
              </w:p>
            </w:tc>
            <w:tc>
              <w:tcPr>
                <w:tcW w:w="50" w:type="pct"/>
                <w:shd w:val="clear" w:color="auto" w:fill="FFFFFF"/>
                <w:noWrap/>
                <w:tcMar>
                  <w:top w:w="15" w:type="dxa"/>
                  <w:left w:w="0" w:type="dxa"/>
                  <w:bottom w:w="0" w:type="dxa"/>
                  <w:right w:w="15" w:type="dxa"/>
                </w:tcMar>
                <w:vAlign w:val="bottom"/>
              </w:tcPr>
              <w:p w14:paraId="185E50D9"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75504588"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23887528"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45035806"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2C54A583"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465E696F"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2EFF8ECF"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1D16599E"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D78C1A2"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1CA96FBF" w14:textId="77777777" w:rsidR="00C21036" w:rsidRDefault="00C21036" w:rsidP="0043103E">
                <w:pPr>
                  <w:jc w:val="right"/>
                  <w:rPr>
                    <w:rFonts w:ascii="Calibri"/>
                    <w:color w:val="000000"/>
                    <w:sz w:val="20"/>
                  </w:rPr>
                </w:pPr>
                <w:r>
                  <w:rPr>
                    <w:rFonts w:ascii="Calibri"/>
                    <w:color w:val="000000"/>
                    <w:sz w:val="20"/>
                  </w:rPr>
                  <w:t>25.80</w:t>
                </w:r>
              </w:p>
            </w:tc>
            <w:tc>
              <w:tcPr>
                <w:tcW w:w="50" w:type="pct"/>
                <w:shd w:val="clear" w:color="auto" w:fill="FFFFFF"/>
                <w:noWrap/>
                <w:tcMar>
                  <w:top w:w="15" w:type="dxa"/>
                  <w:left w:w="0" w:type="dxa"/>
                  <w:bottom w:w="0" w:type="dxa"/>
                  <w:right w:w="15" w:type="dxa"/>
                </w:tcMar>
                <w:vAlign w:val="bottom"/>
              </w:tcPr>
              <w:p w14:paraId="2B30AAA9"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050FD8AF"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BF86965"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13F02DE6" w14:textId="77777777" w:rsidR="00C21036" w:rsidRDefault="00C21036" w:rsidP="0043103E">
                <w:pPr>
                  <w:jc w:val="right"/>
                  <w:rPr>
                    <w:rFonts w:ascii="Calibri"/>
                    <w:color w:val="000000"/>
                    <w:sz w:val="20"/>
                  </w:rPr>
                </w:pPr>
                <w:r>
                  <w:rPr>
                    <w:rFonts w:ascii="Calibri"/>
                    <w:color w:val="000000"/>
                    <w:sz w:val="20"/>
                  </w:rPr>
                  <w:t>17.98</w:t>
                </w:r>
              </w:p>
            </w:tc>
            <w:tc>
              <w:tcPr>
                <w:tcW w:w="50" w:type="pct"/>
                <w:shd w:val="clear" w:color="auto" w:fill="FFFFFF"/>
                <w:noWrap/>
                <w:tcMar>
                  <w:top w:w="15" w:type="dxa"/>
                  <w:left w:w="0" w:type="dxa"/>
                  <w:bottom w:w="0" w:type="dxa"/>
                  <w:right w:w="15" w:type="dxa"/>
                </w:tcMar>
                <w:vAlign w:val="bottom"/>
              </w:tcPr>
              <w:p w14:paraId="001D7ABE" w14:textId="77777777" w:rsidR="00C21036" w:rsidRDefault="00C21036" w:rsidP="0043103E">
                <w:pPr>
                  <w:rPr>
                    <w:rFonts w:ascii="Calibri"/>
                    <w:color w:val="000000"/>
                    <w:sz w:val="20"/>
                  </w:rPr>
                </w:pPr>
                <w:r>
                  <w:rPr>
                    <w:rFonts w:ascii="Calibri"/>
                    <w:color w:val="000000"/>
                    <w:sz w:val="20"/>
                  </w:rPr>
                  <w:t>%</w:t>
                </w:r>
              </w:p>
            </w:tc>
          </w:tr>
          <w:tr w:rsidR="00C21036" w14:paraId="4211F510" w14:textId="77777777">
            <w:trPr>
              <w:cantSplit/>
              <w:jc w:val="center"/>
            </w:trPr>
            <w:tc>
              <w:tcPr>
                <w:tcW w:w="2549" w:type="pct"/>
                <w:shd w:val="clear" w:color="auto" w:fill="CFF0FC"/>
                <w:tcMar>
                  <w:top w:w="15" w:type="dxa"/>
                  <w:left w:w="0" w:type="dxa"/>
                  <w:bottom w:w="0" w:type="dxa"/>
                  <w:right w:w="15" w:type="dxa"/>
                </w:tcMar>
              </w:tcPr>
              <w:p w14:paraId="7757D4B6" w14:textId="77777777" w:rsidR="00C21036" w:rsidRDefault="00C21036" w:rsidP="0043103E">
                <w:pPr>
                  <w:keepNext/>
                  <w:rPr>
                    <w:rFonts w:ascii="Calibri"/>
                    <w:color w:val="000000"/>
                    <w:sz w:val="20"/>
                  </w:rPr>
                </w:pPr>
                <w:r>
                  <w:rPr>
                    <w:rFonts w:ascii="Calibri"/>
                    <w:color w:val="000000"/>
                    <w:sz w:val="20"/>
                  </w:rPr>
                  <w:t>Total capital (to risk-weighted assets)</w:t>
                </w:r>
              </w:p>
            </w:tc>
            <w:tc>
              <w:tcPr>
                <w:tcW w:w="50" w:type="pct"/>
                <w:shd w:val="clear" w:color="auto" w:fill="CFF0FC"/>
                <w:noWrap/>
                <w:tcMar>
                  <w:top w:w="15" w:type="dxa"/>
                  <w:left w:w="0" w:type="dxa"/>
                  <w:bottom w:w="0" w:type="dxa"/>
                  <w:right w:w="15" w:type="dxa"/>
                </w:tcMar>
                <w:vAlign w:val="bottom"/>
              </w:tcPr>
              <w:p w14:paraId="7F8844FB"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29CB5CC7"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9B3010D"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633C49DB"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AEA3366"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25C2858E"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28A6696"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28E65B5"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BE082BC"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5F041FB1" w14:textId="77777777" w:rsidR="00C21036" w:rsidRDefault="00C21036" w:rsidP="0043103E">
                <w:pPr>
                  <w:jc w:val="right"/>
                  <w:rPr>
                    <w:rFonts w:ascii="Calibri"/>
                    <w:color w:val="000000"/>
                    <w:sz w:val="20"/>
                  </w:rPr>
                </w:pPr>
                <w:r>
                  <w:rPr>
                    <w:rFonts w:ascii="Calibri"/>
                    <w:color w:val="000000"/>
                    <w:sz w:val="20"/>
                  </w:rPr>
                  <w:t>25.80</w:t>
                </w:r>
              </w:p>
            </w:tc>
            <w:tc>
              <w:tcPr>
                <w:tcW w:w="50" w:type="pct"/>
                <w:shd w:val="clear" w:color="auto" w:fill="CFF0FC"/>
                <w:noWrap/>
                <w:tcMar>
                  <w:top w:w="15" w:type="dxa"/>
                  <w:left w:w="0" w:type="dxa"/>
                  <w:bottom w:w="0" w:type="dxa"/>
                  <w:right w:w="15" w:type="dxa"/>
                </w:tcMar>
                <w:vAlign w:val="bottom"/>
              </w:tcPr>
              <w:p w14:paraId="3C40BF63"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1AFB1CFF"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E9428EC"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04F2A7C0" w14:textId="77777777" w:rsidR="00C21036" w:rsidRDefault="00C21036" w:rsidP="0043103E">
                <w:pPr>
                  <w:jc w:val="right"/>
                  <w:rPr>
                    <w:rFonts w:ascii="Calibri"/>
                    <w:color w:val="000000"/>
                    <w:sz w:val="20"/>
                  </w:rPr>
                </w:pPr>
                <w:r>
                  <w:rPr>
                    <w:rFonts w:ascii="Calibri"/>
                    <w:color w:val="000000"/>
                    <w:sz w:val="20"/>
                  </w:rPr>
                  <w:t>18.47</w:t>
                </w:r>
              </w:p>
            </w:tc>
            <w:tc>
              <w:tcPr>
                <w:tcW w:w="50" w:type="pct"/>
                <w:shd w:val="clear" w:color="auto" w:fill="CFF0FC"/>
                <w:noWrap/>
                <w:tcMar>
                  <w:top w:w="15" w:type="dxa"/>
                  <w:left w:w="0" w:type="dxa"/>
                  <w:bottom w:w="0" w:type="dxa"/>
                  <w:right w:w="15" w:type="dxa"/>
                </w:tcMar>
                <w:vAlign w:val="bottom"/>
              </w:tcPr>
              <w:p w14:paraId="6C1A2533" w14:textId="77777777" w:rsidR="00C21036" w:rsidRDefault="00C21036" w:rsidP="0043103E">
                <w:pPr>
                  <w:rPr>
                    <w:rFonts w:ascii="Calibri"/>
                    <w:color w:val="000000"/>
                    <w:sz w:val="20"/>
                  </w:rPr>
                </w:pPr>
                <w:r>
                  <w:rPr>
                    <w:rFonts w:ascii="Calibri"/>
                    <w:color w:val="000000"/>
                    <w:sz w:val="20"/>
                  </w:rPr>
                  <w:t>%</w:t>
                </w:r>
              </w:p>
            </w:tc>
          </w:tr>
          <w:tr w:rsidR="00C21036" w14:paraId="556EDCCD" w14:textId="77777777">
            <w:trPr>
              <w:cantSplit/>
              <w:jc w:val="center"/>
            </w:trPr>
            <w:tc>
              <w:tcPr>
                <w:tcW w:w="2549" w:type="pct"/>
                <w:shd w:val="clear" w:color="auto" w:fill="FFFFFF"/>
                <w:tcMar>
                  <w:top w:w="15" w:type="dxa"/>
                  <w:left w:w="0" w:type="dxa"/>
                  <w:bottom w:w="0" w:type="dxa"/>
                  <w:right w:w="15" w:type="dxa"/>
                </w:tcMar>
              </w:tcPr>
              <w:p w14:paraId="45F33111" w14:textId="77777777" w:rsidR="00C21036" w:rsidRDefault="00C21036" w:rsidP="0043103E">
                <w:pPr>
                  <w:keepNext/>
                  <w:rPr>
                    <w:rFonts w:ascii="Calibri"/>
                    <w:color w:val="000000"/>
                    <w:sz w:val="20"/>
                  </w:rPr>
                </w:pPr>
                <w:r>
                  <w:rPr>
                    <w:rFonts w:ascii="Calibri"/>
                    <w:color w:val="000000"/>
                    <w:sz w:val="20"/>
                  </w:rPr>
                  <w:t>Common equity Tier 1 capital (to risk-weighted assets)</w:t>
                </w:r>
              </w:p>
            </w:tc>
            <w:tc>
              <w:tcPr>
                <w:tcW w:w="50" w:type="pct"/>
                <w:shd w:val="clear" w:color="auto" w:fill="FFFFFF"/>
                <w:noWrap/>
                <w:tcMar>
                  <w:top w:w="15" w:type="dxa"/>
                  <w:left w:w="0" w:type="dxa"/>
                  <w:bottom w:w="0" w:type="dxa"/>
                  <w:right w:w="15" w:type="dxa"/>
                </w:tcMar>
                <w:vAlign w:val="bottom"/>
              </w:tcPr>
              <w:p w14:paraId="1DAE333E"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3EF091BD"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2E13CCB0"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48A04B49"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8751712"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4F02E86D"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D9B841A"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12279F82"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51EEB56"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5E37030E" w14:textId="77777777" w:rsidR="00C21036" w:rsidRDefault="00C21036" w:rsidP="0043103E">
                <w:pPr>
                  <w:jc w:val="right"/>
                  <w:rPr>
                    <w:rFonts w:ascii="Calibri"/>
                    <w:color w:val="000000"/>
                    <w:sz w:val="20"/>
                  </w:rPr>
                </w:pPr>
                <w:r>
                  <w:rPr>
                    <w:rFonts w:ascii="Calibri"/>
                    <w:color w:val="000000"/>
                    <w:sz w:val="20"/>
                  </w:rPr>
                  <w:t>17.38</w:t>
                </w:r>
              </w:p>
            </w:tc>
            <w:tc>
              <w:tcPr>
                <w:tcW w:w="50" w:type="pct"/>
                <w:shd w:val="clear" w:color="auto" w:fill="FFFFFF"/>
                <w:noWrap/>
                <w:tcMar>
                  <w:top w:w="15" w:type="dxa"/>
                  <w:left w:w="0" w:type="dxa"/>
                  <w:bottom w:w="0" w:type="dxa"/>
                  <w:right w:w="15" w:type="dxa"/>
                </w:tcMar>
                <w:vAlign w:val="bottom"/>
              </w:tcPr>
              <w:p w14:paraId="7F7D0E7E"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7BA1F2E1"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EEF8C5D"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16E8918C" w14:textId="77777777" w:rsidR="00C21036" w:rsidRDefault="00C21036" w:rsidP="0043103E">
                <w:pPr>
                  <w:jc w:val="right"/>
                  <w:rPr>
                    <w:rFonts w:ascii="Calibri"/>
                    <w:color w:val="000000"/>
                    <w:sz w:val="20"/>
                  </w:rPr>
                </w:pPr>
                <w:r>
                  <w:rPr>
                    <w:rFonts w:ascii="Calibri"/>
                    <w:color w:val="000000"/>
                    <w:sz w:val="20"/>
                  </w:rPr>
                  <w:t>17.98</w:t>
                </w:r>
              </w:p>
            </w:tc>
            <w:tc>
              <w:tcPr>
                <w:tcW w:w="50" w:type="pct"/>
                <w:shd w:val="clear" w:color="auto" w:fill="FFFFFF"/>
                <w:noWrap/>
                <w:tcMar>
                  <w:top w:w="15" w:type="dxa"/>
                  <w:left w:w="0" w:type="dxa"/>
                  <w:bottom w:w="0" w:type="dxa"/>
                  <w:right w:w="15" w:type="dxa"/>
                </w:tcMar>
                <w:vAlign w:val="bottom"/>
              </w:tcPr>
              <w:p w14:paraId="73245F74" w14:textId="77777777" w:rsidR="00C21036" w:rsidRDefault="00C21036" w:rsidP="0043103E">
                <w:pPr>
                  <w:rPr>
                    <w:rFonts w:ascii="Calibri"/>
                    <w:color w:val="000000"/>
                    <w:sz w:val="20"/>
                  </w:rPr>
                </w:pPr>
                <w:r>
                  <w:rPr>
                    <w:rFonts w:ascii="Calibri"/>
                    <w:color w:val="000000"/>
                    <w:sz w:val="20"/>
                  </w:rPr>
                  <w:t>%</w:t>
                </w:r>
              </w:p>
            </w:tc>
          </w:tr>
          <w:tr w:rsidR="00C21036" w14:paraId="4BEFF4DE" w14:textId="77777777">
            <w:trPr>
              <w:cantSplit/>
              <w:jc w:val="center"/>
            </w:trPr>
            <w:tc>
              <w:tcPr>
                <w:tcW w:w="2549" w:type="pct"/>
                <w:shd w:val="clear" w:color="auto" w:fill="CFF0FC"/>
                <w:tcMar>
                  <w:top w:w="15" w:type="dxa"/>
                  <w:left w:w="0" w:type="dxa"/>
                  <w:bottom w:w="0" w:type="dxa"/>
                  <w:right w:w="15" w:type="dxa"/>
                </w:tcMar>
              </w:tcPr>
              <w:p w14:paraId="19198176" w14:textId="77777777" w:rsidR="00C21036" w:rsidRDefault="00C21036" w:rsidP="0043103E">
                <w:pPr>
                  <w:keepNext/>
                  <w:rPr>
                    <w:rFonts w:ascii="Calibri"/>
                    <w:b/>
                    <w:color w:val="000000"/>
                    <w:sz w:val="20"/>
                  </w:rPr>
                </w:pPr>
                <w:r>
                  <w:rPr>
                    <w:rFonts w:ascii="Calibri"/>
                    <w:b/>
                    <w:color w:val="000000"/>
                    <w:sz w:val="20"/>
                  </w:rPr>
                  <w:t>Asset Quality Ratios:</w:t>
                </w:r>
              </w:p>
            </w:tc>
            <w:tc>
              <w:tcPr>
                <w:tcW w:w="50" w:type="pct"/>
                <w:shd w:val="clear" w:color="auto" w:fill="CFF0FC"/>
                <w:noWrap/>
                <w:tcMar>
                  <w:top w:w="15" w:type="dxa"/>
                  <w:left w:w="0" w:type="dxa"/>
                  <w:bottom w:w="0" w:type="dxa"/>
                  <w:right w:w="15" w:type="dxa"/>
                </w:tcMar>
                <w:vAlign w:val="bottom"/>
              </w:tcPr>
              <w:p w14:paraId="02884F4F"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42572918"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24D05BAF"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685A0A82"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152176F"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2559E0FB"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418C6FE"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4596AE87"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0B249FC"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12CD1354"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06B3BA1"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CDB7F96"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BBA46C7"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143A1D5B"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1484F677" w14:textId="77777777" w:rsidR="00C21036" w:rsidRDefault="00C21036" w:rsidP="0043103E">
                <w:pPr>
                  <w:rPr>
                    <w:rFonts w:ascii="Calibri"/>
                    <w:color w:val="000000"/>
                    <w:sz w:val="20"/>
                  </w:rPr>
                </w:pPr>
                <w:r>
                  <w:rPr>
                    <w:rFonts w:ascii="Calibri"/>
                    <w:color w:val="000000"/>
                    <w:sz w:val="20"/>
                  </w:rPr>
                  <w:t xml:space="preserve"> </w:t>
                </w:r>
              </w:p>
            </w:tc>
          </w:tr>
          <w:tr w:rsidR="00C21036" w14:paraId="0B0A1F1C" w14:textId="77777777">
            <w:trPr>
              <w:cantSplit/>
              <w:jc w:val="center"/>
            </w:trPr>
            <w:tc>
              <w:tcPr>
                <w:tcW w:w="2549" w:type="pct"/>
                <w:shd w:val="clear" w:color="auto" w:fill="FFFFFF"/>
                <w:tcMar>
                  <w:top w:w="15" w:type="dxa"/>
                  <w:left w:w="0" w:type="dxa"/>
                  <w:bottom w:w="0" w:type="dxa"/>
                  <w:right w:w="15" w:type="dxa"/>
                </w:tcMar>
              </w:tcPr>
              <w:p w14:paraId="4F91C6FC" w14:textId="77777777" w:rsidR="00C21036" w:rsidRDefault="00C21036" w:rsidP="0043103E">
                <w:pPr>
                  <w:keepNext/>
                  <w:rPr>
                    <w:rFonts w:ascii="Calibri"/>
                    <w:color w:val="000000"/>
                    <w:sz w:val="20"/>
                  </w:rPr>
                </w:pPr>
                <w:r>
                  <w:rPr>
                    <w:rFonts w:ascii="Calibri"/>
                    <w:color w:val="000000"/>
                    <w:sz w:val="20"/>
                  </w:rPr>
                  <w:t>Allowance for loan losses as a percent of total loans</w:t>
                </w:r>
              </w:p>
            </w:tc>
            <w:tc>
              <w:tcPr>
                <w:tcW w:w="50" w:type="pct"/>
                <w:shd w:val="clear" w:color="auto" w:fill="FFFFFF"/>
                <w:noWrap/>
                <w:tcMar>
                  <w:top w:w="15" w:type="dxa"/>
                  <w:left w:w="0" w:type="dxa"/>
                  <w:bottom w:w="0" w:type="dxa"/>
                  <w:right w:w="15" w:type="dxa"/>
                </w:tcMar>
                <w:vAlign w:val="bottom"/>
              </w:tcPr>
              <w:p w14:paraId="268B7F53"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50A05B75"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2E17C35"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0F66DBE4"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80E7D1C"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5EE29FB8"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7163C1F"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6B0D48C7"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7ADDA20"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6395E3C0" w14:textId="77777777" w:rsidR="00C21036" w:rsidRDefault="00C21036" w:rsidP="0043103E">
                <w:pPr>
                  <w:jc w:val="right"/>
                  <w:rPr>
                    <w:rFonts w:ascii="Calibri"/>
                    <w:color w:val="000000"/>
                    <w:sz w:val="20"/>
                  </w:rPr>
                </w:pPr>
                <w:r>
                  <w:rPr>
                    <w:rFonts w:ascii="Calibri"/>
                    <w:color w:val="000000"/>
                    <w:sz w:val="20"/>
                  </w:rPr>
                  <w:t>0.40</w:t>
                </w:r>
              </w:p>
            </w:tc>
            <w:tc>
              <w:tcPr>
                <w:tcW w:w="50" w:type="pct"/>
                <w:shd w:val="clear" w:color="auto" w:fill="FFFFFF"/>
                <w:noWrap/>
                <w:tcMar>
                  <w:top w:w="15" w:type="dxa"/>
                  <w:left w:w="0" w:type="dxa"/>
                  <w:bottom w:w="0" w:type="dxa"/>
                  <w:right w:w="15" w:type="dxa"/>
                </w:tcMar>
                <w:vAlign w:val="bottom"/>
              </w:tcPr>
              <w:p w14:paraId="084F2CC6"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60754A3F"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EAE3412"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4C106091" w14:textId="77777777" w:rsidR="00C21036" w:rsidRDefault="00C21036" w:rsidP="0043103E">
                <w:pPr>
                  <w:jc w:val="right"/>
                  <w:rPr>
                    <w:rFonts w:ascii="Calibri"/>
                    <w:color w:val="000000"/>
                    <w:sz w:val="20"/>
                  </w:rPr>
                </w:pPr>
                <w:r>
                  <w:rPr>
                    <w:rFonts w:ascii="Calibri"/>
                    <w:color w:val="000000"/>
                    <w:sz w:val="20"/>
                  </w:rPr>
                  <w:t>0.37</w:t>
                </w:r>
              </w:p>
            </w:tc>
            <w:tc>
              <w:tcPr>
                <w:tcW w:w="50" w:type="pct"/>
                <w:shd w:val="clear" w:color="auto" w:fill="FFFFFF"/>
                <w:noWrap/>
                <w:tcMar>
                  <w:top w:w="15" w:type="dxa"/>
                  <w:left w:w="0" w:type="dxa"/>
                  <w:bottom w:w="0" w:type="dxa"/>
                  <w:right w:w="15" w:type="dxa"/>
                </w:tcMar>
                <w:vAlign w:val="bottom"/>
              </w:tcPr>
              <w:p w14:paraId="2B558633" w14:textId="77777777" w:rsidR="00C21036" w:rsidRDefault="00C21036" w:rsidP="0043103E">
                <w:pPr>
                  <w:rPr>
                    <w:rFonts w:ascii="Calibri"/>
                    <w:color w:val="000000"/>
                    <w:sz w:val="20"/>
                  </w:rPr>
                </w:pPr>
                <w:r>
                  <w:rPr>
                    <w:rFonts w:ascii="Calibri"/>
                    <w:color w:val="000000"/>
                    <w:sz w:val="20"/>
                  </w:rPr>
                  <w:t>%</w:t>
                </w:r>
              </w:p>
            </w:tc>
          </w:tr>
          <w:tr w:rsidR="00C21036" w14:paraId="05656C82" w14:textId="77777777">
            <w:trPr>
              <w:cantSplit/>
              <w:jc w:val="center"/>
            </w:trPr>
            <w:tc>
              <w:tcPr>
                <w:tcW w:w="2549" w:type="pct"/>
                <w:shd w:val="clear" w:color="auto" w:fill="CFF0FC"/>
                <w:tcMar>
                  <w:top w:w="15" w:type="dxa"/>
                  <w:left w:w="0" w:type="dxa"/>
                  <w:bottom w:w="0" w:type="dxa"/>
                  <w:right w:w="15" w:type="dxa"/>
                </w:tcMar>
              </w:tcPr>
              <w:p w14:paraId="1E581AB7" w14:textId="77777777" w:rsidR="00C21036" w:rsidRDefault="00C21036" w:rsidP="0043103E">
                <w:pPr>
                  <w:keepNext/>
                  <w:rPr>
                    <w:rFonts w:ascii="Calibri"/>
                    <w:color w:val="000000"/>
                    <w:sz w:val="20"/>
                  </w:rPr>
                </w:pPr>
                <w:r>
                  <w:rPr>
                    <w:rFonts w:ascii="Calibri"/>
                    <w:color w:val="000000"/>
                    <w:sz w:val="20"/>
                  </w:rPr>
                  <w:t>Allowance for loan losses as a percent of non-performing loans</w:t>
                </w:r>
              </w:p>
            </w:tc>
            <w:tc>
              <w:tcPr>
                <w:tcW w:w="50" w:type="pct"/>
                <w:shd w:val="clear" w:color="auto" w:fill="CFF0FC"/>
                <w:noWrap/>
                <w:tcMar>
                  <w:top w:w="15" w:type="dxa"/>
                  <w:left w:w="0" w:type="dxa"/>
                  <w:bottom w:w="0" w:type="dxa"/>
                  <w:right w:w="15" w:type="dxa"/>
                </w:tcMar>
                <w:vAlign w:val="bottom"/>
              </w:tcPr>
              <w:p w14:paraId="35059208"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31C0158C"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1077121"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58BCD98"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F5AE216"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3CA043BA"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B531953"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6DFF6E6D"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7B3C2D60" w14:textId="77777777" w:rsidR="00C21036" w:rsidRDefault="00C21036">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4EA5BDBA" w14:textId="77777777" w:rsidR="00C21036" w:rsidRDefault="00C21036">
                <w:pPr>
                  <w:jc w:val="right"/>
                  <w:rPr>
                    <w:rFonts w:ascii="Calibri"/>
                    <w:color w:val="000000"/>
                    <w:sz w:val="20"/>
                  </w:rPr>
                </w:pPr>
                <w:r>
                  <w:rPr>
                    <w:rFonts w:ascii="Calibri"/>
                    <w:color w:val="000000"/>
                    <w:sz w:val="20"/>
                  </w:rPr>
                  <w:t>344.67</w:t>
                </w:r>
              </w:p>
            </w:tc>
            <w:tc>
              <w:tcPr>
                <w:tcW w:w="50" w:type="pct"/>
                <w:shd w:val="clear" w:color="auto" w:fill="CFF0FC"/>
                <w:noWrap/>
                <w:tcMar>
                  <w:top w:w="15" w:type="dxa"/>
                  <w:left w:w="0" w:type="dxa"/>
                  <w:bottom w:w="0" w:type="dxa"/>
                  <w:right w:w="15" w:type="dxa"/>
                </w:tcMar>
                <w:vAlign w:val="bottom"/>
              </w:tcPr>
              <w:p w14:paraId="476C5A2B" w14:textId="77777777" w:rsidR="00C21036" w:rsidRDefault="00C21036">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22CBF60B"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05AAD659"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05EDB95A" w14:textId="77777777" w:rsidR="00C21036" w:rsidRDefault="00C21036" w:rsidP="0043103E">
                <w:pPr>
                  <w:jc w:val="right"/>
                  <w:rPr>
                    <w:rFonts w:ascii="Calibri"/>
                    <w:color w:val="000000"/>
                    <w:sz w:val="20"/>
                  </w:rPr>
                </w:pPr>
                <w:r>
                  <w:rPr>
                    <w:rFonts w:ascii="Calibri"/>
                    <w:color w:val="000000"/>
                    <w:sz w:val="20"/>
                  </w:rPr>
                  <w:t>361.84</w:t>
                </w:r>
              </w:p>
            </w:tc>
            <w:tc>
              <w:tcPr>
                <w:tcW w:w="50" w:type="pct"/>
                <w:shd w:val="clear" w:color="auto" w:fill="CFF0FC"/>
                <w:noWrap/>
                <w:tcMar>
                  <w:top w:w="15" w:type="dxa"/>
                  <w:left w:w="0" w:type="dxa"/>
                  <w:bottom w:w="0" w:type="dxa"/>
                  <w:right w:w="15" w:type="dxa"/>
                </w:tcMar>
                <w:vAlign w:val="bottom"/>
              </w:tcPr>
              <w:p w14:paraId="0BEC5AD6" w14:textId="77777777" w:rsidR="00C21036" w:rsidRDefault="00C21036" w:rsidP="0043103E">
                <w:pPr>
                  <w:rPr>
                    <w:rFonts w:ascii="Calibri"/>
                    <w:color w:val="000000"/>
                    <w:sz w:val="20"/>
                  </w:rPr>
                </w:pPr>
                <w:r>
                  <w:rPr>
                    <w:rFonts w:ascii="Calibri"/>
                    <w:color w:val="000000"/>
                    <w:sz w:val="20"/>
                  </w:rPr>
                  <w:t>%</w:t>
                </w:r>
              </w:p>
            </w:tc>
          </w:tr>
          <w:tr w:rsidR="00C21036" w14:paraId="00BDA4C5" w14:textId="77777777">
            <w:trPr>
              <w:cantSplit/>
              <w:jc w:val="center"/>
            </w:trPr>
            <w:tc>
              <w:tcPr>
                <w:tcW w:w="2549" w:type="pct"/>
                <w:shd w:val="clear" w:color="auto" w:fill="FFFFFF"/>
                <w:tcMar>
                  <w:top w:w="15" w:type="dxa"/>
                  <w:left w:w="0" w:type="dxa"/>
                  <w:bottom w:w="0" w:type="dxa"/>
                  <w:right w:w="15" w:type="dxa"/>
                </w:tcMar>
              </w:tcPr>
              <w:p w14:paraId="1F006383" w14:textId="77777777" w:rsidR="00C21036" w:rsidRDefault="00C21036" w:rsidP="0043103E">
                <w:pPr>
                  <w:keepNext/>
                  <w:rPr>
                    <w:rFonts w:ascii="Calibri"/>
                    <w:color w:val="000000"/>
                    <w:sz w:val="20"/>
                  </w:rPr>
                </w:pPr>
                <w:r>
                  <w:rPr>
                    <w:rFonts w:ascii="Calibri"/>
                    <w:color w:val="000000"/>
                    <w:sz w:val="20"/>
                  </w:rPr>
                  <w:t>Net recoveries to average outstanding loans during the period</w:t>
                </w:r>
              </w:p>
            </w:tc>
            <w:tc>
              <w:tcPr>
                <w:tcW w:w="50" w:type="pct"/>
                <w:shd w:val="clear" w:color="auto" w:fill="FFFFFF"/>
                <w:noWrap/>
                <w:tcMar>
                  <w:top w:w="15" w:type="dxa"/>
                  <w:left w:w="0" w:type="dxa"/>
                  <w:bottom w:w="0" w:type="dxa"/>
                  <w:right w:w="15" w:type="dxa"/>
                </w:tcMar>
                <w:vAlign w:val="bottom"/>
              </w:tcPr>
              <w:p w14:paraId="6CF6597A"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41D382B3"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A49DDB9"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2ECBF419"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1604084"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4497F533"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14A678ED"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5179D5F1"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A116115"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17C63700" w14:textId="77777777" w:rsidR="00C21036" w:rsidRDefault="00C21036" w:rsidP="0043103E">
                <w:pPr>
                  <w:jc w:val="right"/>
                  <w:rPr>
                    <w:rFonts w:ascii="Calibri"/>
                    <w:color w:val="000000"/>
                    <w:sz w:val="20"/>
                  </w:rPr>
                </w:pPr>
                <w:r>
                  <w:rPr>
                    <w:rFonts w:ascii="Calibri"/>
                    <w:color w:val="000000"/>
                    <w:sz w:val="20"/>
                  </w:rPr>
                  <w:t>0.00</w:t>
                </w:r>
              </w:p>
            </w:tc>
            <w:tc>
              <w:tcPr>
                <w:tcW w:w="50" w:type="pct"/>
                <w:shd w:val="clear" w:color="auto" w:fill="FFFFFF"/>
                <w:noWrap/>
                <w:tcMar>
                  <w:top w:w="15" w:type="dxa"/>
                  <w:left w:w="0" w:type="dxa"/>
                  <w:bottom w:w="0" w:type="dxa"/>
                  <w:right w:w="15" w:type="dxa"/>
                </w:tcMar>
                <w:vAlign w:val="bottom"/>
              </w:tcPr>
              <w:p w14:paraId="2A38C2B5"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5E926D13"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326F4B25"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72A28ABA" w14:textId="77777777" w:rsidR="00C21036" w:rsidRDefault="00C21036" w:rsidP="0043103E">
                <w:pPr>
                  <w:jc w:val="right"/>
                  <w:rPr>
                    <w:rFonts w:ascii="Calibri"/>
                    <w:color w:val="000000"/>
                    <w:sz w:val="20"/>
                  </w:rPr>
                </w:pPr>
                <w:r>
                  <w:rPr>
                    <w:rFonts w:ascii="Calibri"/>
                    <w:color w:val="000000"/>
                    <w:sz w:val="20"/>
                  </w:rPr>
                  <w:t>0.00</w:t>
                </w:r>
              </w:p>
            </w:tc>
            <w:tc>
              <w:tcPr>
                <w:tcW w:w="50" w:type="pct"/>
                <w:shd w:val="clear" w:color="auto" w:fill="FFFFFF"/>
                <w:noWrap/>
                <w:tcMar>
                  <w:top w:w="15" w:type="dxa"/>
                  <w:left w:w="0" w:type="dxa"/>
                  <w:bottom w:w="0" w:type="dxa"/>
                  <w:right w:w="15" w:type="dxa"/>
                </w:tcMar>
                <w:vAlign w:val="bottom"/>
              </w:tcPr>
              <w:p w14:paraId="60B0FBED" w14:textId="77777777" w:rsidR="00C21036" w:rsidRDefault="00C21036" w:rsidP="0043103E">
                <w:pPr>
                  <w:rPr>
                    <w:rFonts w:ascii="Calibri"/>
                    <w:color w:val="000000"/>
                    <w:sz w:val="20"/>
                  </w:rPr>
                </w:pPr>
                <w:r>
                  <w:rPr>
                    <w:rFonts w:ascii="Calibri"/>
                    <w:color w:val="000000"/>
                    <w:sz w:val="20"/>
                  </w:rPr>
                  <w:t>%</w:t>
                </w:r>
              </w:p>
            </w:tc>
          </w:tr>
          <w:tr w:rsidR="00C21036" w14:paraId="04654868" w14:textId="77777777">
            <w:trPr>
              <w:cantSplit/>
              <w:jc w:val="center"/>
            </w:trPr>
            <w:tc>
              <w:tcPr>
                <w:tcW w:w="2549" w:type="pct"/>
                <w:shd w:val="clear" w:color="auto" w:fill="CFF0FC"/>
                <w:tcMar>
                  <w:top w:w="15" w:type="dxa"/>
                  <w:left w:w="0" w:type="dxa"/>
                  <w:bottom w:w="0" w:type="dxa"/>
                  <w:right w:w="15" w:type="dxa"/>
                </w:tcMar>
              </w:tcPr>
              <w:p w14:paraId="0666BBBD" w14:textId="77777777" w:rsidR="00C21036" w:rsidRDefault="00C21036" w:rsidP="0043103E">
                <w:pPr>
                  <w:keepNext/>
                  <w:rPr>
                    <w:rFonts w:ascii="Calibri"/>
                    <w:color w:val="000000"/>
                    <w:sz w:val="20"/>
                  </w:rPr>
                </w:pPr>
                <w:r>
                  <w:rPr>
                    <w:rFonts w:ascii="Calibri"/>
                    <w:color w:val="000000"/>
                    <w:sz w:val="20"/>
                  </w:rPr>
                  <w:t>Non-performing loans as a percent of total loans</w:t>
                </w:r>
              </w:p>
            </w:tc>
            <w:tc>
              <w:tcPr>
                <w:tcW w:w="50" w:type="pct"/>
                <w:shd w:val="clear" w:color="auto" w:fill="CFF0FC"/>
                <w:noWrap/>
                <w:tcMar>
                  <w:top w:w="15" w:type="dxa"/>
                  <w:left w:w="0" w:type="dxa"/>
                  <w:bottom w:w="0" w:type="dxa"/>
                  <w:right w:w="15" w:type="dxa"/>
                </w:tcMar>
                <w:vAlign w:val="bottom"/>
              </w:tcPr>
              <w:p w14:paraId="2E3CEE8B"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72982843"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24D841E"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2D2592E"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5AB3EADD"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4346001F"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6F7F7BF4"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CFF0FC"/>
                <w:tcMar>
                  <w:top w:w="15" w:type="dxa"/>
                  <w:left w:w="0" w:type="dxa"/>
                  <w:bottom w:w="0" w:type="dxa"/>
                  <w:right w:w="15" w:type="dxa"/>
                </w:tcMar>
                <w:vAlign w:val="bottom"/>
              </w:tcPr>
              <w:p w14:paraId="08C31F8D"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409E2AE1"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0EDFDE98" w14:textId="77777777" w:rsidR="00C21036" w:rsidRDefault="00C21036" w:rsidP="0043103E">
                <w:pPr>
                  <w:jc w:val="right"/>
                  <w:rPr>
                    <w:rFonts w:ascii="Calibri"/>
                    <w:color w:val="000000"/>
                    <w:sz w:val="20"/>
                  </w:rPr>
                </w:pPr>
                <w:r>
                  <w:rPr>
                    <w:rFonts w:ascii="Calibri"/>
                    <w:color w:val="000000"/>
                    <w:sz w:val="20"/>
                  </w:rPr>
                  <w:t>0.11</w:t>
                </w:r>
              </w:p>
            </w:tc>
            <w:tc>
              <w:tcPr>
                <w:tcW w:w="50" w:type="pct"/>
                <w:shd w:val="clear" w:color="auto" w:fill="CFF0FC"/>
                <w:noWrap/>
                <w:tcMar>
                  <w:top w:w="15" w:type="dxa"/>
                  <w:left w:w="0" w:type="dxa"/>
                  <w:bottom w:w="0" w:type="dxa"/>
                  <w:right w:w="15" w:type="dxa"/>
                </w:tcMar>
                <w:vAlign w:val="bottom"/>
              </w:tcPr>
              <w:p w14:paraId="3D6B336D"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CFF0FC"/>
                <w:tcMar>
                  <w:top w:w="15" w:type="dxa"/>
                  <w:left w:w="0" w:type="dxa"/>
                  <w:bottom w:w="0" w:type="dxa"/>
                  <w:right w:w="15" w:type="dxa"/>
                </w:tcMar>
                <w:vAlign w:val="bottom"/>
              </w:tcPr>
              <w:p w14:paraId="54A0BE01"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CFF0FC"/>
                <w:noWrap/>
                <w:tcMar>
                  <w:top w:w="15" w:type="dxa"/>
                  <w:left w:w="0" w:type="dxa"/>
                  <w:bottom w:w="0" w:type="dxa"/>
                  <w:right w:w="15" w:type="dxa"/>
                </w:tcMar>
                <w:vAlign w:val="bottom"/>
              </w:tcPr>
              <w:p w14:paraId="35A60B4C"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CFF0FC"/>
                <w:noWrap/>
                <w:tcMar>
                  <w:top w:w="15" w:type="dxa"/>
                  <w:left w:w="0" w:type="dxa"/>
                  <w:bottom w:w="0" w:type="dxa"/>
                  <w:right w:w="15" w:type="dxa"/>
                </w:tcMar>
                <w:vAlign w:val="bottom"/>
              </w:tcPr>
              <w:p w14:paraId="3E0C41C5" w14:textId="77777777" w:rsidR="00C21036" w:rsidRDefault="00C21036" w:rsidP="0043103E">
                <w:pPr>
                  <w:jc w:val="right"/>
                  <w:rPr>
                    <w:rFonts w:ascii="Calibri"/>
                    <w:color w:val="000000"/>
                    <w:sz w:val="20"/>
                  </w:rPr>
                </w:pPr>
                <w:r>
                  <w:rPr>
                    <w:rFonts w:ascii="Calibri"/>
                    <w:color w:val="000000"/>
                    <w:sz w:val="20"/>
                  </w:rPr>
                  <w:t>0.10</w:t>
                </w:r>
              </w:p>
            </w:tc>
            <w:tc>
              <w:tcPr>
                <w:tcW w:w="50" w:type="pct"/>
                <w:shd w:val="clear" w:color="auto" w:fill="CFF0FC"/>
                <w:noWrap/>
                <w:tcMar>
                  <w:top w:w="15" w:type="dxa"/>
                  <w:left w:w="0" w:type="dxa"/>
                  <w:bottom w:w="0" w:type="dxa"/>
                  <w:right w:w="15" w:type="dxa"/>
                </w:tcMar>
                <w:vAlign w:val="bottom"/>
              </w:tcPr>
              <w:p w14:paraId="7743F044" w14:textId="77777777" w:rsidR="00C21036" w:rsidRDefault="00C21036" w:rsidP="0043103E">
                <w:pPr>
                  <w:rPr>
                    <w:rFonts w:ascii="Calibri"/>
                    <w:color w:val="000000"/>
                    <w:sz w:val="20"/>
                  </w:rPr>
                </w:pPr>
                <w:r>
                  <w:rPr>
                    <w:rFonts w:ascii="Calibri"/>
                    <w:color w:val="000000"/>
                    <w:sz w:val="20"/>
                  </w:rPr>
                  <w:t>%</w:t>
                </w:r>
              </w:p>
            </w:tc>
          </w:tr>
          <w:tr w:rsidR="00C21036" w14:paraId="1682764C" w14:textId="77777777">
            <w:trPr>
              <w:cantSplit/>
              <w:jc w:val="center"/>
            </w:trPr>
            <w:tc>
              <w:tcPr>
                <w:tcW w:w="2549" w:type="pct"/>
                <w:shd w:val="clear" w:color="auto" w:fill="FFFFFF"/>
                <w:tcMar>
                  <w:top w:w="15" w:type="dxa"/>
                  <w:left w:w="0" w:type="dxa"/>
                  <w:bottom w:w="0" w:type="dxa"/>
                  <w:right w:w="15" w:type="dxa"/>
                </w:tcMar>
              </w:tcPr>
              <w:p w14:paraId="43BB98FB" w14:textId="77777777" w:rsidR="00C21036" w:rsidRDefault="00C21036" w:rsidP="0043103E">
                <w:pPr>
                  <w:rPr>
                    <w:rFonts w:ascii="Calibri"/>
                    <w:color w:val="000000"/>
                    <w:sz w:val="20"/>
                  </w:rPr>
                </w:pPr>
                <w:r>
                  <w:rPr>
                    <w:rFonts w:ascii="Calibri"/>
                    <w:color w:val="000000"/>
                    <w:sz w:val="20"/>
                  </w:rPr>
                  <w:t>Non-performing assets as a percent of total assets</w:t>
                </w:r>
              </w:p>
            </w:tc>
            <w:tc>
              <w:tcPr>
                <w:tcW w:w="50" w:type="pct"/>
                <w:shd w:val="clear" w:color="auto" w:fill="FFFFFF"/>
                <w:noWrap/>
                <w:tcMar>
                  <w:top w:w="15" w:type="dxa"/>
                  <w:left w:w="0" w:type="dxa"/>
                  <w:bottom w:w="0" w:type="dxa"/>
                  <w:right w:w="15" w:type="dxa"/>
                </w:tcMar>
                <w:vAlign w:val="bottom"/>
              </w:tcPr>
              <w:p w14:paraId="0EE8B0C0"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0FD167E1"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F8AEA11"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3F428B62"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76E9F628"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08954848" w14:textId="77777777" w:rsidR="00C21036" w:rsidRDefault="00C21036" w:rsidP="0043103E">
                <w:pPr>
                  <w:jc w:val="right"/>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6202AD6C" w14:textId="77777777" w:rsidR="00C21036" w:rsidRDefault="00C21036" w:rsidP="0043103E">
                <w:pPr>
                  <w:rPr>
                    <w:rFonts w:ascii="Calibri"/>
                    <w:color w:val="000000"/>
                    <w:sz w:val="20"/>
                  </w:rPr>
                </w:pPr>
                <w:r>
                  <w:rPr>
                    <w:rFonts w:ascii="Calibri"/>
                    <w:color w:val="000000"/>
                    <w:sz w:val="20"/>
                  </w:rPr>
                  <w:t xml:space="preserve"> </w:t>
                </w:r>
              </w:p>
            </w:tc>
            <w:tc>
              <w:tcPr>
                <w:tcW w:w="61" w:type="pct"/>
                <w:shd w:val="clear" w:color="auto" w:fill="FFFFFF"/>
                <w:tcMar>
                  <w:top w:w="15" w:type="dxa"/>
                  <w:left w:w="0" w:type="dxa"/>
                  <w:bottom w:w="0" w:type="dxa"/>
                  <w:right w:w="15" w:type="dxa"/>
                </w:tcMar>
                <w:vAlign w:val="bottom"/>
              </w:tcPr>
              <w:p w14:paraId="1BC3FC13"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48AA37B3"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45279CDA" w14:textId="77777777" w:rsidR="00C21036" w:rsidRDefault="00C21036" w:rsidP="0043103E">
                <w:pPr>
                  <w:jc w:val="right"/>
                  <w:rPr>
                    <w:rFonts w:ascii="Calibri"/>
                    <w:color w:val="000000"/>
                    <w:sz w:val="20"/>
                  </w:rPr>
                </w:pPr>
                <w:r>
                  <w:rPr>
                    <w:rFonts w:ascii="Calibri"/>
                    <w:color w:val="000000"/>
                    <w:sz w:val="20"/>
                  </w:rPr>
                  <w:t>0.09</w:t>
                </w:r>
              </w:p>
            </w:tc>
            <w:tc>
              <w:tcPr>
                <w:tcW w:w="50" w:type="pct"/>
                <w:shd w:val="clear" w:color="auto" w:fill="FFFFFF"/>
                <w:noWrap/>
                <w:tcMar>
                  <w:top w:w="15" w:type="dxa"/>
                  <w:left w:w="0" w:type="dxa"/>
                  <w:bottom w:w="0" w:type="dxa"/>
                  <w:right w:w="15" w:type="dxa"/>
                </w:tcMar>
                <w:vAlign w:val="bottom"/>
              </w:tcPr>
              <w:p w14:paraId="1BB93455" w14:textId="77777777" w:rsidR="00C21036" w:rsidRDefault="00C21036" w:rsidP="0043103E">
                <w:pPr>
                  <w:rPr>
                    <w:rFonts w:ascii="Calibri"/>
                    <w:color w:val="000000"/>
                    <w:sz w:val="20"/>
                  </w:rPr>
                </w:pPr>
                <w:r>
                  <w:rPr>
                    <w:rFonts w:ascii="Calibri"/>
                    <w:color w:val="000000"/>
                    <w:sz w:val="20"/>
                  </w:rPr>
                  <w:t>%</w:t>
                </w:r>
              </w:p>
            </w:tc>
            <w:tc>
              <w:tcPr>
                <w:tcW w:w="61" w:type="pct"/>
                <w:shd w:val="clear" w:color="auto" w:fill="FFFFFF"/>
                <w:tcMar>
                  <w:top w:w="15" w:type="dxa"/>
                  <w:left w:w="0" w:type="dxa"/>
                  <w:bottom w:w="0" w:type="dxa"/>
                  <w:right w:w="15" w:type="dxa"/>
                </w:tcMar>
                <w:vAlign w:val="bottom"/>
              </w:tcPr>
              <w:p w14:paraId="2B197241" w14:textId="77777777" w:rsidR="00C21036" w:rsidRDefault="00C21036" w:rsidP="0043103E">
                <w:pPr>
                  <w:rPr>
                    <w:rFonts w:ascii="Calibri"/>
                    <w:color w:val="000000"/>
                    <w:sz w:val="20"/>
                  </w:rPr>
                </w:pPr>
                <w:r>
                  <w:rPr>
                    <w:rFonts w:ascii="Calibri"/>
                    <w:color w:val="000000"/>
                    <w:sz w:val="20"/>
                  </w:rPr>
                  <w:t xml:space="preserve"> </w:t>
                </w:r>
              </w:p>
            </w:tc>
            <w:tc>
              <w:tcPr>
                <w:tcW w:w="50" w:type="pct"/>
                <w:shd w:val="clear" w:color="auto" w:fill="FFFFFF"/>
                <w:noWrap/>
                <w:tcMar>
                  <w:top w:w="15" w:type="dxa"/>
                  <w:left w:w="0" w:type="dxa"/>
                  <w:bottom w:w="0" w:type="dxa"/>
                  <w:right w:w="15" w:type="dxa"/>
                </w:tcMar>
                <w:vAlign w:val="bottom"/>
              </w:tcPr>
              <w:p w14:paraId="0A40E522" w14:textId="77777777" w:rsidR="00C21036" w:rsidRDefault="00C21036" w:rsidP="0043103E">
                <w:pPr>
                  <w:rPr>
                    <w:rFonts w:ascii="Calibri"/>
                    <w:color w:val="000000"/>
                    <w:sz w:val="20"/>
                  </w:rPr>
                </w:pPr>
                <w:r>
                  <w:rPr>
                    <w:rFonts w:ascii="Calibri"/>
                    <w:color w:val="000000"/>
                    <w:sz w:val="20"/>
                  </w:rPr>
                  <w:t xml:space="preserve"> </w:t>
                </w:r>
              </w:p>
            </w:tc>
            <w:tc>
              <w:tcPr>
                <w:tcW w:w="466" w:type="pct"/>
                <w:shd w:val="clear" w:color="auto" w:fill="FFFFFF"/>
                <w:noWrap/>
                <w:tcMar>
                  <w:top w:w="15" w:type="dxa"/>
                  <w:left w:w="0" w:type="dxa"/>
                  <w:bottom w:w="0" w:type="dxa"/>
                  <w:right w:w="15" w:type="dxa"/>
                </w:tcMar>
                <w:vAlign w:val="bottom"/>
              </w:tcPr>
              <w:p w14:paraId="76A301B2" w14:textId="77777777" w:rsidR="00C21036" w:rsidRDefault="00C21036" w:rsidP="0043103E">
                <w:pPr>
                  <w:jc w:val="right"/>
                  <w:rPr>
                    <w:rFonts w:ascii="Calibri"/>
                    <w:color w:val="000000"/>
                    <w:sz w:val="20"/>
                  </w:rPr>
                </w:pPr>
                <w:r>
                  <w:rPr>
                    <w:rFonts w:ascii="Calibri"/>
                    <w:color w:val="000000"/>
                    <w:sz w:val="20"/>
                  </w:rPr>
                  <w:t>0.08</w:t>
                </w:r>
              </w:p>
            </w:tc>
            <w:tc>
              <w:tcPr>
                <w:tcW w:w="50" w:type="pct"/>
                <w:shd w:val="clear" w:color="auto" w:fill="FFFFFF"/>
                <w:noWrap/>
                <w:tcMar>
                  <w:top w:w="15" w:type="dxa"/>
                  <w:left w:w="0" w:type="dxa"/>
                  <w:bottom w:w="0" w:type="dxa"/>
                  <w:right w:w="15" w:type="dxa"/>
                </w:tcMar>
                <w:vAlign w:val="bottom"/>
              </w:tcPr>
              <w:p w14:paraId="6684FA47" w14:textId="75470264" w:rsidR="00C21036" w:rsidRDefault="00C21036" w:rsidP="0043103E">
                <w:pPr>
                  <w:rPr>
                    <w:rFonts w:ascii="Calibri"/>
                    <w:color w:val="000000"/>
                    <w:sz w:val="20"/>
                  </w:rPr>
                </w:pPr>
                <w:r>
                  <w:rPr>
                    <w:rFonts w:ascii="Calibri"/>
                    <w:color w:val="000000"/>
                    <w:sz w:val="20"/>
                  </w:rPr>
                  <w:t>%</w:t>
                </w:r>
              </w:p>
            </w:tc>
          </w:tr>
        </w:tbl>
      </w:sdtContent>
    </w:sdt>
    <w:p w14:paraId="315853A7" w14:textId="77777777" w:rsidR="00E57EC0" w:rsidRPr="002E3B34" w:rsidRDefault="00E57EC0" w:rsidP="002E3B34">
      <w:pPr>
        <w:pBdr>
          <w:bottom w:val="single" w:sz="4" w:space="1" w:color="auto"/>
        </w:pBdr>
        <w:ind w:right="7920"/>
        <w:rPr>
          <w:rFonts w:asciiTheme="minorHAnsi" w:hAnsiTheme="minorHAnsi" w:cs="Times New Roman"/>
          <w:b/>
          <w:bCs/>
          <w:sz w:val="12"/>
          <w:szCs w:val="12"/>
        </w:rPr>
      </w:pPr>
    </w:p>
    <w:p w14:paraId="248DFB25" w14:textId="77777777" w:rsidR="00B73F26" w:rsidRPr="00F76E29" w:rsidRDefault="00B73F26" w:rsidP="002E3B34">
      <w:pPr>
        <w:numPr>
          <w:ilvl w:val="0"/>
          <w:numId w:val="20"/>
        </w:numPr>
        <w:spacing w:before="40"/>
        <w:ind w:left="720" w:hanging="720"/>
        <w:rPr>
          <w:rFonts w:asciiTheme="minorHAnsi" w:hAnsiTheme="minorHAnsi"/>
          <w:sz w:val="18"/>
        </w:rPr>
      </w:pPr>
      <w:r w:rsidRPr="00F76E29">
        <w:rPr>
          <w:rFonts w:asciiTheme="minorHAnsi" w:hAnsiTheme="minorHAnsi"/>
          <w:sz w:val="18"/>
        </w:rPr>
        <w:t>Performance ratios are annualized.</w:t>
      </w:r>
    </w:p>
    <w:p w14:paraId="75E88D3C" w14:textId="77777777" w:rsidR="00B73F26" w:rsidRPr="00F76E29" w:rsidRDefault="00B73F26" w:rsidP="00B73F26">
      <w:pPr>
        <w:numPr>
          <w:ilvl w:val="0"/>
          <w:numId w:val="20"/>
        </w:numPr>
        <w:ind w:left="720" w:hanging="720"/>
        <w:rPr>
          <w:rFonts w:asciiTheme="minorHAnsi" w:hAnsiTheme="minorHAnsi"/>
          <w:sz w:val="18"/>
        </w:rPr>
      </w:pPr>
      <w:r w:rsidRPr="00F76E29">
        <w:rPr>
          <w:rFonts w:asciiTheme="minorHAnsi" w:hAnsiTheme="minorHAnsi"/>
          <w:sz w:val="18"/>
        </w:rPr>
        <w:t>Represents net income divided by average total assets.</w:t>
      </w:r>
    </w:p>
    <w:p w14:paraId="757F2BFB" w14:textId="77777777" w:rsidR="00B73F26" w:rsidRPr="00F76E29" w:rsidRDefault="00B73F26" w:rsidP="00B73F26">
      <w:pPr>
        <w:numPr>
          <w:ilvl w:val="0"/>
          <w:numId w:val="20"/>
        </w:numPr>
        <w:ind w:left="720" w:hanging="720"/>
        <w:rPr>
          <w:rFonts w:asciiTheme="minorHAnsi" w:hAnsiTheme="minorHAnsi"/>
          <w:sz w:val="18"/>
        </w:rPr>
      </w:pPr>
      <w:r w:rsidRPr="00F76E29">
        <w:rPr>
          <w:rFonts w:asciiTheme="minorHAnsi" w:hAnsiTheme="minorHAnsi"/>
          <w:sz w:val="18"/>
        </w:rPr>
        <w:t>Represents net income divided by average equity.</w:t>
      </w:r>
    </w:p>
    <w:p w14:paraId="2AC73FAF" w14:textId="77777777" w:rsidR="00B73F26" w:rsidRPr="00F76E29" w:rsidRDefault="00B73F26" w:rsidP="00B73F26">
      <w:pPr>
        <w:ind w:left="720" w:hanging="720"/>
        <w:rPr>
          <w:rFonts w:asciiTheme="minorHAnsi" w:hAnsiTheme="minorHAnsi"/>
          <w:sz w:val="18"/>
        </w:rPr>
      </w:pPr>
      <w:r w:rsidRPr="00F76E29">
        <w:rPr>
          <w:rFonts w:asciiTheme="minorHAnsi" w:hAnsiTheme="minorHAnsi"/>
          <w:sz w:val="18"/>
        </w:rPr>
        <w:t>(4)</w:t>
      </w:r>
      <w:r w:rsidRPr="00F76E29">
        <w:rPr>
          <w:rFonts w:asciiTheme="minorHAnsi" w:hAnsiTheme="minorHAnsi"/>
          <w:sz w:val="18"/>
        </w:rPr>
        <w:tab/>
        <w:t>Represents the difference between the weighted average yield on average interest-earning assets and the weighted average cost of average interest-bearing liabilities.  Tax exempt income is reported on a tax equivalent basis using a combined federal and state marginal tax rate of 30%.</w:t>
      </w:r>
    </w:p>
    <w:p w14:paraId="38E2EE06" w14:textId="77777777" w:rsidR="00B73F26" w:rsidRPr="00F76E29" w:rsidRDefault="00B73F26" w:rsidP="00B73F26">
      <w:pPr>
        <w:ind w:left="720" w:hanging="720"/>
        <w:rPr>
          <w:rFonts w:asciiTheme="minorHAnsi" w:hAnsiTheme="minorHAnsi"/>
          <w:sz w:val="18"/>
        </w:rPr>
      </w:pPr>
      <w:r w:rsidRPr="00F76E29">
        <w:rPr>
          <w:rFonts w:asciiTheme="minorHAnsi" w:hAnsiTheme="minorHAnsi"/>
          <w:sz w:val="18"/>
        </w:rPr>
        <w:t>(5)</w:t>
      </w:r>
      <w:r w:rsidRPr="00F76E29">
        <w:rPr>
          <w:rFonts w:asciiTheme="minorHAnsi" w:hAnsiTheme="minorHAnsi"/>
          <w:sz w:val="18"/>
        </w:rPr>
        <w:tab/>
        <w:t>Represents net interest income as a percent of average interest-earning assets.  Tax exempt income is reported on a tax equivalent basis using a combined federal and state marginal tax rate of 30% for 20</w:t>
      </w:r>
      <w:r w:rsidR="00435E64" w:rsidRPr="00F76E29">
        <w:rPr>
          <w:rFonts w:asciiTheme="minorHAnsi" w:hAnsiTheme="minorHAnsi"/>
          <w:sz w:val="18"/>
        </w:rPr>
        <w:t>20</w:t>
      </w:r>
      <w:r w:rsidR="0090435D" w:rsidRPr="00F76E29">
        <w:rPr>
          <w:rFonts w:asciiTheme="minorHAnsi" w:hAnsiTheme="minorHAnsi"/>
          <w:sz w:val="18"/>
        </w:rPr>
        <w:t xml:space="preserve"> and 2019</w:t>
      </w:r>
      <w:r w:rsidRPr="00F76E29">
        <w:rPr>
          <w:rFonts w:asciiTheme="minorHAnsi" w:hAnsiTheme="minorHAnsi"/>
          <w:sz w:val="18"/>
        </w:rPr>
        <w:t>.</w:t>
      </w:r>
    </w:p>
    <w:p w14:paraId="74D220A9" w14:textId="77777777" w:rsidR="00B73F26" w:rsidRPr="00F76E29" w:rsidRDefault="00B73F26" w:rsidP="00B73F26">
      <w:pPr>
        <w:ind w:left="720" w:hanging="720"/>
        <w:rPr>
          <w:rFonts w:asciiTheme="minorHAnsi" w:hAnsiTheme="minorHAnsi"/>
          <w:sz w:val="18"/>
        </w:rPr>
      </w:pPr>
      <w:r w:rsidRPr="00F76E29">
        <w:rPr>
          <w:rFonts w:asciiTheme="minorHAnsi" w:hAnsiTheme="minorHAnsi"/>
          <w:sz w:val="18"/>
        </w:rPr>
        <w:t>(6)</w:t>
      </w:r>
      <w:r w:rsidRPr="00F76E29">
        <w:rPr>
          <w:rFonts w:asciiTheme="minorHAnsi" w:hAnsiTheme="minorHAnsi"/>
          <w:sz w:val="18"/>
        </w:rPr>
        <w:tab/>
        <w:t>Represents non-interest expenses divided by the sum of net interest income and non-interest income.</w:t>
      </w:r>
    </w:p>
    <w:p w14:paraId="3C3BF459" w14:textId="02D08599" w:rsidR="00896749" w:rsidRDefault="00B73F26" w:rsidP="001C1436">
      <w:pPr>
        <w:ind w:left="720" w:hanging="720"/>
        <w:rPr>
          <w:rFonts w:asciiTheme="minorHAnsi" w:hAnsiTheme="minorHAnsi"/>
          <w:sz w:val="18"/>
        </w:rPr>
      </w:pPr>
      <w:r w:rsidRPr="00F76E29">
        <w:rPr>
          <w:rFonts w:asciiTheme="minorHAnsi" w:hAnsiTheme="minorHAnsi"/>
          <w:sz w:val="18"/>
        </w:rPr>
        <w:t>(7)</w:t>
      </w:r>
      <w:r w:rsidRPr="00F76E29">
        <w:rPr>
          <w:rFonts w:asciiTheme="minorHAnsi" w:hAnsiTheme="minorHAnsi"/>
          <w:sz w:val="18"/>
        </w:rPr>
        <w:tab/>
        <w:t>Represents average equity divided by average total assets.</w:t>
      </w:r>
      <w:bookmarkStart w:id="1" w:name="_1010576776"/>
      <w:bookmarkStart w:id="2" w:name="_1010576967"/>
      <w:bookmarkStart w:id="3" w:name="_1010577000"/>
      <w:bookmarkStart w:id="4" w:name="_1011535250"/>
      <w:bookmarkStart w:id="5" w:name="_1011535730"/>
      <w:bookmarkStart w:id="6" w:name="_1011535798"/>
      <w:bookmarkStart w:id="7" w:name="_1012799764"/>
      <w:bookmarkStart w:id="8" w:name="_1012825235"/>
      <w:bookmarkStart w:id="9" w:name="_1018174100"/>
      <w:bookmarkStart w:id="10" w:name="_1018338114"/>
      <w:bookmarkEnd w:id="1"/>
      <w:bookmarkEnd w:id="2"/>
      <w:bookmarkEnd w:id="3"/>
      <w:bookmarkEnd w:id="4"/>
      <w:bookmarkEnd w:id="5"/>
      <w:bookmarkEnd w:id="6"/>
      <w:bookmarkEnd w:id="7"/>
      <w:bookmarkEnd w:id="8"/>
      <w:bookmarkEnd w:id="9"/>
      <w:bookmarkEnd w:id="10"/>
    </w:p>
    <w:p w14:paraId="14A1E2B3" w14:textId="2A806CAE" w:rsidR="003F7440" w:rsidRDefault="003F7440" w:rsidP="001C1436">
      <w:pPr>
        <w:ind w:left="720" w:hanging="720"/>
        <w:rPr>
          <w:rFonts w:asciiTheme="minorHAnsi" w:hAnsiTheme="minorHAnsi"/>
          <w:sz w:val="18"/>
        </w:rPr>
      </w:pPr>
    </w:p>
    <w:p w14:paraId="65562A49" w14:textId="2A6F21A0" w:rsidR="003F7440" w:rsidRDefault="003F7440" w:rsidP="003F7440">
      <w:pPr>
        <w:spacing w:after="200"/>
        <w:jc w:val="both"/>
        <w:rPr>
          <w:rFonts w:asciiTheme="minorHAnsi" w:hAnsiTheme="minorHAnsi"/>
        </w:rPr>
      </w:pPr>
    </w:p>
    <w:p w14:paraId="0469C1D5" w14:textId="4CDCFF77" w:rsidR="001D1961" w:rsidRDefault="001D1961" w:rsidP="003F7440">
      <w:pPr>
        <w:spacing w:after="200"/>
        <w:jc w:val="both"/>
        <w:rPr>
          <w:rFonts w:asciiTheme="minorHAnsi" w:hAnsiTheme="minorHAnsi"/>
        </w:rPr>
      </w:pPr>
    </w:p>
    <w:p w14:paraId="554158D0" w14:textId="5279449A" w:rsidR="001D1961" w:rsidRDefault="001D1961" w:rsidP="003F7440">
      <w:pPr>
        <w:spacing w:after="200"/>
        <w:jc w:val="both"/>
        <w:rPr>
          <w:rFonts w:asciiTheme="minorHAnsi" w:hAnsiTheme="minorHAnsi"/>
        </w:rPr>
      </w:pPr>
    </w:p>
    <w:p w14:paraId="1149AD40" w14:textId="361254C6" w:rsidR="001D1961" w:rsidRDefault="001D1961" w:rsidP="003F7440">
      <w:pPr>
        <w:spacing w:after="200"/>
        <w:jc w:val="both"/>
        <w:rPr>
          <w:rFonts w:asciiTheme="minorHAnsi" w:hAnsiTheme="minorHAnsi"/>
        </w:rPr>
      </w:pPr>
    </w:p>
    <w:p w14:paraId="784AFC81" w14:textId="61C52409" w:rsidR="001D1961" w:rsidRDefault="001D1961" w:rsidP="003F7440">
      <w:pPr>
        <w:spacing w:after="200"/>
        <w:jc w:val="both"/>
        <w:rPr>
          <w:rFonts w:asciiTheme="minorHAnsi" w:hAnsiTheme="minorHAnsi"/>
        </w:rPr>
      </w:pPr>
    </w:p>
    <w:p w14:paraId="630458CA" w14:textId="5BD807D8" w:rsidR="001D1961" w:rsidRDefault="001D1961" w:rsidP="003F7440">
      <w:pPr>
        <w:spacing w:after="200"/>
        <w:jc w:val="both"/>
        <w:rPr>
          <w:rFonts w:asciiTheme="minorHAnsi" w:hAnsiTheme="minorHAnsi"/>
        </w:rPr>
      </w:pPr>
    </w:p>
    <w:p w14:paraId="09B1DE6F" w14:textId="11A86547" w:rsidR="001D1961" w:rsidRDefault="001D1961" w:rsidP="003F7440">
      <w:pPr>
        <w:spacing w:after="200"/>
        <w:jc w:val="both"/>
        <w:rPr>
          <w:rFonts w:asciiTheme="minorHAnsi" w:hAnsiTheme="minorHAnsi"/>
        </w:rPr>
      </w:pPr>
    </w:p>
    <w:p w14:paraId="044202E1" w14:textId="01FCC163" w:rsidR="001D1961" w:rsidRDefault="001D1961" w:rsidP="003F7440">
      <w:pPr>
        <w:spacing w:after="200"/>
        <w:jc w:val="both"/>
        <w:rPr>
          <w:rFonts w:asciiTheme="minorHAnsi" w:hAnsiTheme="minorHAnsi"/>
        </w:rPr>
      </w:pPr>
    </w:p>
    <w:p w14:paraId="589395F5" w14:textId="4C363E78" w:rsidR="001D1961" w:rsidRDefault="001D1961" w:rsidP="003F7440">
      <w:pPr>
        <w:spacing w:after="200"/>
        <w:jc w:val="both"/>
        <w:rPr>
          <w:rFonts w:asciiTheme="minorHAnsi" w:hAnsiTheme="minorHAnsi"/>
        </w:rPr>
      </w:pPr>
    </w:p>
    <w:p w14:paraId="7BE1D34F" w14:textId="77777777" w:rsidR="005A58C0" w:rsidRPr="00F76E29" w:rsidRDefault="005A58C0" w:rsidP="005A58C0">
      <w:pPr>
        <w:pStyle w:val="NormalWeb"/>
        <w:keepNext/>
        <w:pageBreakBefore/>
        <w:spacing w:before="0" w:beforeAutospacing="0" w:after="0" w:afterAutospacing="0"/>
        <w:jc w:val="center"/>
        <w:rPr>
          <w:rFonts w:asciiTheme="minorHAnsi" w:hAnsiTheme="minorHAnsi"/>
          <w:sz w:val="20"/>
          <w:szCs w:val="20"/>
        </w:rPr>
      </w:pPr>
      <w:r w:rsidRPr="00F76E29">
        <w:rPr>
          <w:rFonts w:asciiTheme="minorHAnsi" w:hAnsiTheme="minorHAnsi"/>
          <w:b/>
          <w:bCs/>
          <w:caps/>
          <w:sz w:val="20"/>
          <w:szCs w:val="20"/>
        </w:rPr>
        <w:lastRenderedPageBreak/>
        <w:t>BOGOTA FINANCIAL cORP.</w:t>
      </w:r>
    </w:p>
    <w:p w14:paraId="217470A4" w14:textId="48214159" w:rsidR="005A58C0" w:rsidRPr="00F76E29" w:rsidRDefault="005A58C0" w:rsidP="005A58C0">
      <w:pPr>
        <w:pStyle w:val="NormalWeb"/>
        <w:keepNext/>
        <w:spacing w:before="0" w:beforeAutospacing="0" w:after="0" w:afterAutospacing="0"/>
        <w:jc w:val="center"/>
        <w:rPr>
          <w:rFonts w:asciiTheme="minorHAnsi" w:hAnsiTheme="minorHAnsi"/>
          <w:b/>
          <w:sz w:val="20"/>
          <w:szCs w:val="20"/>
        </w:rPr>
      </w:pPr>
      <w:r>
        <w:rPr>
          <w:rFonts w:asciiTheme="minorHAnsi" w:hAnsiTheme="minorHAnsi"/>
          <w:b/>
          <w:sz w:val="20"/>
          <w:szCs w:val="20"/>
        </w:rPr>
        <w:t>RECONCILIATION OF GAAP TO NON-GAAP</w:t>
      </w:r>
    </w:p>
    <w:p w14:paraId="7EAEB5E0" w14:textId="3B2DD8D4" w:rsidR="001D1961" w:rsidRDefault="001D1961" w:rsidP="003F7440">
      <w:pPr>
        <w:spacing w:after="200"/>
        <w:jc w:val="both"/>
        <w:rPr>
          <w:rFonts w:asciiTheme="minorHAnsi" w:hAnsiTheme="minorHAnsi"/>
        </w:rPr>
      </w:pPr>
    </w:p>
    <w:sdt>
      <w:sdtPr>
        <w:alias w:val="AL-GAAP - BSBK_Workbook"/>
        <w:tag w:val="e423ee12-0532-4bed-b9c9-023774fa514a"/>
        <w:id w:val="-1722588033"/>
      </w:sdt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208"/>
            <w:gridCol w:w="115"/>
            <w:gridCol w:w="1160"/>
            <w:gridCol w:w="106"/>
            <w:gridCol w:w="147"/>
            <w:gridCol w:w="116"/>
            <w:gridCol w:w="1160"/>
            <w:gridCol w:w="106"/>
            <w:gridCol w:w="147"/>
            <w:gridCol w:w="115"/>
            <w:gridCol w:w="1167"/>
            <w:gridCol w:w="106"/>
            <w:gridCol w:w="147"/>
          </w:tblGrid>
          <w:tr w:rsidR="00F14B46" w14:paraId="6B3D9215" w14:textId="77777777">
            <w:trPr>
              <w:cantSplit/>
            </w:trPr>
            <w:tc>
              <w:tcPr>
                <w:tcW w:w="2874" w:type="pct"/>
                <w:shd w:val="clear" w:color="auto" w:fill="FFFFFF"/>
                <w:tcMar>
                  <w:top w:w="15" w:type="dxa"/>
                  <w:left w:w="0" w:type="dxa"/>
                  <w:bottom w:w="0" w:type="dxa"/>
                  <w:right w:w="15" w:type="dxa"/>
                </w:tcMar>
                <w:vAlign w:val="bottom"/>
              </w:tcPr>
              <w:p w14:paraId="685068DA" w14:textId="6877CDD2" w:rsidR="00F14B46" w:rsidRDefault="00F14B46" w:rsidP="001C0487">
                <w:pPr>
                  <w:keepNext/>
                  <w:rPr>
                    <w:rFonts w:ascii="Calibri"/>
                    <w:color w:val="000000"/>
                  </w:rPr>
                </w:pPr>
                <w:r>
                  <w:t xml:space="preserve">  </w:t>
                </w:r>
              </w:p>
            </w:tc>
            <w:tc>
              <w:tcPr>
                <w:tcW w:w="2005" w:type="pct"/>
                <w:gridSpan w:val="10"/>
                <w:tcBorders>
                  <w:bottom w:val="single" w:sz="2" w:space="0" w:color="000000"/>
                </w:tcBorders>
                <w:shd w:val="clear" w:color="auto" w:fill="FFFFFF"/>
                <w:tcMar>
                  <w:top w:w="15" w:type="dxa"/>
                  <w:left w:w="0" w:type="dxa"/>
                  <w:bottom w:w="0" w:type="dxa"/>
                  <w:right w:w="15" w:type="dxa"/>
                </w:tcMar>
                <w:vAlign w:val="bottom"/>
              </w:tcPr>
              <w:p w14:paraId="6FD363BC" w14:textId="77777777" w:rsidR="00F14B46" w:rsidRDefault="00F14B46" w:rsidP="001C0487">
                <w:pPr>
                  <w:jc w:val="center"/>
                  <w:rPr>
                    <w:rFonts w:ascii="Calibri"/>
                    <w:b/>
                    <w:color w:val="000000"/>
                  </w:rPr>
                </w:pPr>
                <w:r>
                  <w:rPr>
                    <w:rFonts w:ascii="Calibri"/>
                    <w:b/>
                    <w:color w:val="000000"/>
                  </w:rPr>
                  <w:t>Three months ended September 30, 2020</w:t>
                </w:r>
              </w:p>
            </w:tc>
            <w:tc>
              <w:tcPr>
                <w:tcW w:w="50" w:type="pct"/>
                <w:shd w:val="clear" w:color="auto" w:fill="FFFFFF"/>
                <w:noWrap/>
                <w:tcMar>
                  <w:top w:w="15" w:type="dxa"/>
                  <w:left w:w="0" w:type="dxa"/>
                  <w:bottom w:w="0" w:type="dxa"/>
                  <w:right w:w="15" w:type="dxa"/>
                </w:tcMar>
                <w:vAlign w:val="bottom"/>
              </w:tcPr>
              <w:p w14:paraId="1BA61CC2" w14:textId="77777777" w:rsidR="00F14B46" w:rsidRDefault="00F14B46" w:rsidP="001C0487">
                <w:pPr>
                  <w:rPr>
                    <w:rFonts w:ascii="Calibri"/>
                    <w:b/>
                    <w:color w:val="000000"/>
                  </w:rPr>
                </w:pPr>
                <w:r>
                  <w:rPr>
                    <w:rFonts w:ascii="Calibri"/>
                    <w:b/>
                    <w:color w:val="000000"/>
                  </w:rPr>
                  <w:t xml:space="preserve"> </w:t>
                </w:r>
              </w:p>
            </w:tc>
            <w:tc>
              <w:tcPr>
                <w:tcW w:w="69" w:type="pct"/>
                <w:shd w:val="clear" w:color="auto" w:fill="FFFFFF"/>
                <w:tcMar>
                  <w:top w:w="15" w:type="dxa"/>
                  <w:left w:w="0" w:type="dxa"/>
                  <w:bottom w:w="0" w:type="dxa"/>
                  <w:right w:w="15" w:type="dxa"/>
                </w:tcMar>
                <w:vAlign w:val="bottom"/>
              </w:tcPr>
              <w:p w14:paraId="4EAA02E3" w14:textId="77777777" w:rsidR="00F14B46" w:rsidRDefault="00F14B46" w:rsidP="001C0487">
                <w:pPr>
                  <w:rPr>
                    <w:rFonts w:ascii="Calibri"/>
                    <w:color w:val="000000"/>
                  </w:rPr>
                </w:pPr>
                <w:r>
                  <w:rPr>
                    <w:rFonts w:ascii="Calibri"/>
                    <w:color w:val="000000"/>
                  </w:rPr>
                  <w:t xml:space="preserve"> </w:t>
                </w:r>
              </w:p>
            </w:tc>
          </w:tr>
          <w:tr w:rsidR="00F14B46" w14:paraId="1A333B80" w14:textId="77777777">
            <w:trPr>
              <w:cantSplit/>
            </w:trPr>
            <w:tc>
              <w:tcPr>
                <w:tcW w:w="2874" w:type="pct"/>
                <w:shd w:val="clear" w:color="auto" w:fill="FFFFFF"/>
                <w:tcMar>
                  <w:top w:w="15" w:type="dxa"/>
                  <w:left w:w="0" w:type="dxa"/>
                  <w:bottom w:w="0" w:type="dxa"/>
                  <w:right w:w="15" w:type="dxa"/>
                </w:tcMar>
                <w:vAlign w:val="bottom"/>
              </w:tcPr>
              <w:p w14:paraId="5F1853D8" w14:textId="77777777" w:rsidR="00F14B46" w:rsidRDefault="00F14B46" w:rsidP="001C0487">
                <w:pPr>
                  <w:keepNext/>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35567B3" w14:textId="77777777" w:rsidR="00F14B46" w:rsidRDefault="00F14B46" w:rsidP="001C0487">
                <w:pPr>
                  <w:jc w:val="center"/>
                  <w:rPr>
                    <w:rFonts w:ascii="Calibri"/>
                    <w:color w:val="000000"/>
                  </w:rPr>
                </w:pPr>
                <w:r>
                  <w:rPr>
                    <w:rFonts w:ascii="Calibri"/>
                    <w:color w:val="000000"/>
                  </w:rPr>
                  <w:t>Income Before Income Taxes</w:t>
                </w:r>
              </w:p>
            </w:tc>
            <w:tc>
              <w:tcPr>
                <w:tcW w:w="50" w:type="pct"/>
                <w:shd w:val="clear" w:color="auto" w:fill="FFFFFF"/>
                <w:noWrap/>
                <w:tcMar>
                  <w:top w:w="15" w:type="dxa"/>
                  <w:left w:w="0" w:type="dxa"/>
                  <w:bottom w:w="0" w:type="dxa"/>
                  <w:right w:w="15" w:type="dxa"/>
                </w:tcMar>
                <w:vAlign w:val="bottom"/>
              </w:tcPr>
              <w:p w14:paraId="3E781CE3" w14:textId="77777777" w:rsidR="00F14B46" w:rsidRDefault="00F14B46" w:rsidP="001C0487">
                <w:pPr>
                  <w:rPr>
                    <w:rFonts w:ascii="Calibri"/>
                    <w:color w:val="000000"/>
                  </w:rPr>
                </w:pPr>
                <w:r>
                  <w:rPr>
                    <w:rFonts w:ascii="Calibri"/>
                    <w:color w:val="000000"/>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20F908A8" w14:textId="77777777" w:rsidR="00F14B46" w:rsidRDefault="00F14B46" w:rsidP="001C0487">
                <w:pPr>
                  <w:jc w:val="center"/>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CCDE6DB" w14:textId="77777777" w:rsidR="00F14B46" w:rsidRDefault="00F14B46" w:rsidP="001C0487">
                <w:pPr>
                  <w:jc w:val="center"/>
                  <w:rPr>
                    <w:rFonts w:ascii="Calibri"/>
                    <w:color w:val="000000"/>
                  </w:rPr>
                </w:pPr>
                <w:r>
                  <w:rPr>
                    <w:rFonts w:ascii="Calibri"/>
                    <w:color w:val="000000"/>
                  </w:rPr>
                  <w:t>Provision for Income Taxes</w:t>
                </w:r>
              </w:p>
            </w:tc>
            <w:tc>
              <w:tcPr>
                <w:tcW w:w="50" w:type="pct"/>
                <w:shd w:val="clear" w:color="auto" w:fill="FFFFFF"/>
                <w:noWrap/>
                <w:tcMar>
                  <w:top w:w="15" w:type="dxa"/>
                  <w:left w:w="0" w:type="dxa"/>
                  <w:bottom w:w="0" w:type="dxa"/>
                  <w:right w:w="15" w:type="dxa"/>
                </w:tcMar>
                <w:vAlign w:val="bottom"/>
              </w:tcPr>
              <w:p w14:paraId="521E2085" w14:textId="77777777" w:rsidR="00F14B46" w:rsidRDefault="00F14B46" w:rsidP="001C0487">
                <w:pPr>
                  <w:rPr>
                    <w:rFonts w:ascii="Calibri"/>
                    <w:color w:val="000000"/>
                  </w:rPr>
                </w:pPr>
                <w:r>
                  <w:rPr>
                    <w:rFonts w:ascii="Calibri"/>
                    <w:color w:val="000000"/>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68D27AA9" w14:textId="77777777" w:rsidR="00F14B46" w:rsidRDefault="00F14B46" w:rsidP="001C0487">
                <w:pPr>
                  <w:jc w:val="center"/>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DB89842" w14:textId="77777777" w:rsidR="00F14B46" w:rsidRDefault="00F14B46" w:rsidP="001C0487">
                <w:pPr>
                  <w:jc w:val="center"/>
                  <w:rPr>
                    <w:rFonts w:ascii="Calibri"/>
                    <w:color w:val="000000"/>
                  </w:rPr>
                </w:pPr>
                <w:r>
                  <w:rPr>
                    <w:rFonts w:ascii="Calibri"/>
                    <w:color w:val="000000"/>
                  </w:rPr>
                  <w:t>Net Income</w:t>
                </w:r>
              </w:p>
            </w:tc>
            <w:tc>
              <w:tcPr>
                <w:tcW w:w="50" w:type="pct"/>
                <w:shd w:val="clear" w:color="auto" w:fill="FFFFFF"/>
                <w:noWrap/>
                <w:tcMar>
                  <w:top w:w="15" w:type="dxa"/>
                  <w:left w:w="0" w:type="dxa"/>
                  <w:bottom w:w="0" w:type="dxa"/>
                  <w:right w:w="15" w:type="dxa"/>
                </w:tcMar>
                <w:vAlign w:val="bottom"/>
              </w:tcPr>
              <w:p w14:paraId="5DB60746" w14:textId="77777777" w:rsidR="00F14B46" w:rsidRDefault="00F14B46" w:rsidP="001C0487">
                <w:pPr>
                  <w:rPr>
                    <w:rFonts w:ascii="Calibri"/>
                    <w:color w:val="000000"/>
                  </w:rPr>
                </w:pPr>
                <w:r>
                  <w:rPr>
                    <w:rFonts w:ascii="Calibri"/>
                    <w:color w:val="000000"/>
                  </w:rPr>
                  <w:t xml:space="preserve"> </w:t>
                </w:r>
              </w:p>
            </w:tc>
            <w:tc>
              <w:tcPr>
                <w:tcW w:w="69" w:type="pct"/>
                <w:shd w:val="clear" w:color="auto" w:fill="FFFFFF"/>
                <w:tcMar>
                  <w:top w:w="15" w:type="dxa"/>
                  <w:left w:w="0" w:type="dxa"/>
                  <w:bottom w:w="0" w:type="dxa"/>
                  <w:right w:w="15" w:type="dxa"/>
                </w:tcMar>
                <w:vAlign w:val="bottom"/>
              </w:tcPr>
              <w:p w14:paraId="2B41E677" w14:textId="77777777" w:rsidR="00F14B46" w:rsidRDefault="00F14B46" w:rsidP="001C0487">
                <w:pPr>
                  <w:rPr>
                    <w:rFonts w:ascii="Calibri"/>
                    <w:color w:val="000000"/>
                  </w:rPr>
                </w:pPr>
                <w:r>
                  <w:rPr>
                    <w:rFonts w:ascii="Calibri"/>
                    <w:color w:val="000000"/>
                  </w:rPr>
                  <w:t xml:space="preserve"> </w:t>
                </w:r>
              </w:p>
            </w:tc>
          </w:tr>
          <w:tr w:rsidR="00F14B46" w14:paraId="1C82CAE7" w14:textId="77777777">
            <w:trPr>
              <w:cantSplit/>
            </w:trPr>
            <w:tc>
              <w:tcPr>
                <w:tcW w:w="2874" w:type="pct"/>
                <w:shd w:val="clear" w:color="auto" w:fill="FFFFFF"/>
                <w:tcMar>
                  <w:top w:w="15" w:type="dxa"/>
                  <w:left w:w="0" w:type="dxa"/>
                  <w:bottom w:w="0" w:type="dxa"/>
                  <w:right w:w="15" w:type="dxa"/>
                </w:tcMar>
                <w:vAlign w:val="bottom"/>
              </w:tcPr>
              <w:p w14:paraId="3A7E4FED" w14:textId="77777777" w:rsidR="00F14B46" w:rsidRDefault="00F14B46" w:rsidP="001C0487">
                <w:pPr>
                  <w:keepNext/>
                  <w:rPr>
                    <w:rFonts w:ascii="Calibri"/>
                    <w:color w:val="000000"/>
                  </w:rPr>
                </w:pPr>
                <w:r>
                  <w:rPr>
                    <w:rFonts w:ascii="Calibri"/>
                    <w:color w:val="000000"/>
                  </w:rPr>
                  <w:t>GAAP basis</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ACD1A4E"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FFFFFF"/>
                <w:noWrap/>
                <w:tcMar>
                  <w:top w:w="15" w:type="dxa"/>
                  <w:left w:w="0" w:type="dxa"/>
                  <w:bottom w:w="0" w:type="dxa"/>
                  <w:right w:w="15" w:type="dxa"/>
                </w:tcMar>
                <w:vAlign w:val="bottom"/>
              </w:tcPr>
              <w:p w14:paraId="4976E8B1" w14:textId="77777777" w:rsidR="00F14B46" w:rsidRDefault="00F14B46">
                <w:pPr>
                  <w:jc w:val="right"/>
                  <w:rPr>
                    <w:color w:val="000000"/>
                    <w:sz w:val="20"/>
                  </w:rPr>
                </w:pPr>
                <w:r>
                  <w:rPr>
                    <w:color w:val="000000"/>
                    <w:sz w:val="20"/>
                  </w:rPr>
                  <w:t>1,283,185</w:t>
                </w:r>
              </w:p>
            </w:tc>
            <w:tc>
              <w:tcPr>
                <w:tcW w:w="50" w:type="pct"/>
                <w:shd w:val="clear" w:color="auto" w:fill="FFFFFF"/>
                <w:noWrap/>
                <w:tcMar>
                  <w:top w:w="15" w:type="dxa"/>
                  <w:left w:w="0" w:type="dxa"/>
                  <w:bottom w:w="0" w:type="dxa"/>
                  <w:right w:w="15" w:type="dxa"/>
                </w:tcMar>
                <w:vAlign w:val="bottom"/>
              </w:tcPr>
              <w:p w14:paraId="71C9BDA4"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637D39A2"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618DBD5"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FFFFFF"/>
                <w:noWrap/>
                <w:tcMar>
                  <w:top w:w="15" w:type="dxa"/>
                  <w:left w:w="0" w:type="dxa"/>
                  <w:bottom w:w="0" w:type="dxa"/>
                  <w:right w:w="15" w:type="dxa"/>
                </w:tcMar>
                <w:vAlign w:val="bottom"/>
              </w:tcPr>
              <w:p w14:paraId="12B66E5F" w14:textId="77777777" w:rsidR="00F14B46" w:rsidRDefault="00F14B46">
                <w:pPr>
                  <w:jc w:val="right"/>
                  <w:rPr>
                    <w:color w:val="000000"/>
                    <w:sz w:val="20"/>
                  </w:rPr>
                </w:pPr>
                <w:r>
                  <w:rPr>
                    <w:color w:val="000000"/>
                    <w:sz w:val="20"/>
                  </w:rPr>
                  <w:t>326,769</w:t>
                </w:r>
              </w:p>
            </w:tc>
            <w:tc>
              <w:tcPr>
                <w:tcW w:w="50" w:type="pct"/>
                <w:shd w:val="clear" w:color="auto" w:fill="FFFFFF"/>
                <w:noWrap/>
                <w:tcMar>
                  <w:top w:w="15" w:type="dxa"/>
                  <w:left w:w="0" w:type="dxa"/>
                  <w:bottom w:w="0" w:type="dxa"/>
                  <w:right w:w="15" w:type="dxa"/>
                </w:tcMar>
                <w:vAlign w:val="bottom"/>
              </w:tcPr>
              <w:p w14:paraId="7BB4ECE1"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66F060AF"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EB9F79C"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FFFFFF"/>
                <w:noWrap/>
                <w:tcMar>
                  <w:top w:w="15" w:type="dxa"/>
                  <w:left w:w="0" w:type="dxa"/>
                  <w:bottom w:w="0" w:type="dxa"/>
                  <w:right w:w="15" w:type="dxa"/>
                </w:tcMar>
                <w:vAlign w:val="bottom"/>
              </w:tcPr>
              <w:p w14:paraId="2F5CF3F0" w14:textId="77777777" w:rsidR="00F14B46" w:rsidRDefault="00F14B46">
                <w:pPr>
                  <w:jc w:val="right"/>
                  <w:rPr>
                    <w:color w:val="000000"/>
                    <w:sz w:val="20"/>
                  </w:rPr>
                </w:pPr>
                <w:r>
                  <w:rPr>
                    <w:color w:val="000000"/>
                    <w:sz w:val="20"/>
                  </w:rPr>
                  <w:t>956,416</w:t>
                </w:r>
              </w:p>
            </w:tc>
            <w:tc>
              <w:tcPr>
                <w:tcW w:w="50" w:type="pct"/>
                <w:shd w:val="clear" w:color="auto" w:fill="FFFFFF"/>
                <w:noWrap/>
                <w:tcMar>
                  <w:top w:w="15" w:type="dxa"/>
                  <w:left w:w="0" w:type="dxa"/>
                  <w:bottom w:w="0" w:type="dxa"/>
                  <w:right w:w="15" w:type="dxa"/>
                </w:tcMar>
                <w:vAlign w:val="bottom"/>
              </w:tcPr>
              <w:p w14:paraId="1C0716FB"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57095806" w14:textId="77777777" w:rsidR="00F14B46" w:rsidRDefault="00F14B46" w:rsidP="001C0487">
                <w:pPr>
                  <w:rPr>
                    <w:rFonts w:ascii="Calibri"/>
                    <w:color w:val="000000"/>
                  </w:rPr>
                </w:pPr>
                <w:r>
                  <w:rPr>
                    <w:rFonts w:ascii="Calibri"/>
                    <w:color w:val="000000"/>
                  </w:rPr>
                  <w:t xml:space="preserve"> </w:t>
                </w:r>
              </w:p>
            </w:tc>
          </w:tr>
          <w:tr w:rsidR="00F14B46" w14:paraId="3A251851" w14:textId="77777777">
            <w:trPr>
              <w:cantSplit/>
            </w:trPr>
            <w:tc>
              <w:tcPr>
                <w:tcW w:w="2874" w:type="pct"/>
                <w:shd w:val="clear" w:color="auto" w:fill="CFF0FC"/>
                <w:tcMar>
                  <w:top w:w="15" w:type="dxa"/>
                  <w:left w:w="0" w:type="dxa"/>
                  <w:bottom w:w="0" w:type="dxa"/>
                  <w:right w:w="15" w:type="dxa"/>
                </w:tcMar>
                <w:vAlign w:val="bottom"/>
              </w:tcPr>
              <w:p w14:paraId="60AEC8E5" w14:textId="77777777" w:rsidR="00F14B46" w:rsidRDefault="00F14B46" w:rsidP="001C0487">
                <w:pPr>
                  <w:keepNext/>
                  <w:rPr>
                    <w:color w:val="000000"/>
                    <w:sz w:val="20"/>
                  </w:rPr>
                </w:pPr>
                <w:r>
                  <w:rPr>
                    <w:color w:val="000000"/>
                    <w:sz w:val="20"/>
                  </w:rPr>
                  <w:t xml:space="preserve"> Add: merger and acquisition related expenses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C5DF640"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CFF0FC"/>
                <w:noWrap/>
                <w:tcMar>
                  <w:top w:w="15" w:type="dxa"/>
                  <w:left w:w="0" w:type="dxa"/>
                  <w:bottom w:w="0" w:type="dxa"/>
                  <w:right w:w="15" w:type="dxa"/>
                </w:tcMar>
                <w:vAlign w:val="bottom"/>
              </w:tcPr>
              <w:p w14:paraId="2BBCAECC" w14:textId="77777777" w:rsidR="00F14B46" w:rsidRDefault="00F14B46" w:rsidP="001C0487">
                <w:pPr>
                  <w:jc w:val="right"/>
                  <w:rPr>
                    <w:color w:val="000000"/>
                    <w:sz w:val="20"/>
                  </w:rPr>
                </w:pPr>
                <w:r>
                  <w:rPr>
                    <w:color w:val="000000"/>
                    <w:sz w:val="20"/>
                  </w:rPr>
                  <w:t>78,606</w:t>
                </w:r>
              </w:p>
            </w:tc>
            <w:tc>
              <w:tcPr>
                <w:tcW w:w="50" w:type="pct"/>
                <w:shd w:val="clear" w:color="auto" w:fill="CFF0FC"/>
                <w:noWrap/>
                <w:tcMar>
                  <w:top w:w="15" w:type="dxa"/>
                  <w:left w:w="0" w:type="dxa"/>
                  <w:bottom w:w="0" w:type="dxa"/>
                  <w:right w:w="15" w:type="dxa"/>
                </w:tcMar>
                <w:vAlign w:val="bottom"/>
              </w:tcPr>
              <w:p w14:paraId="008A8EC5" w14:textId="77777777" w:rsidR="00F14B46" w:rsidRDefault="00F14B46" w:rsidP="001C0487">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5E93DA0E" w14:textId="77777777" w:rsidR="00F14B46" w:rsidRDefault="00F14B46" w:rsidP="001C0487">
                <w:pPr>
                  <w:jc w:val="right"/>
                  <w:rPr>
                    <w:color w:val="000000"/>
                    <w:sz w:val="20"/>
                  </w:rPr>
                </w:pPr>
                <w:r>
                  <w:rPr>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92137A8"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CFF0FC"/>
                <w:noWrap/>
                <w:tcMar>
                  <w:top w:w="15" w:type="dxa"/>
                  <w:left w:w="0" w:type="dxa"/>
                  <w:bottom w:w="0" w:type="dxa"/>
                  <w:right w:w="15" w:type="dxa"/>
                </w:tcMar>
                <w:vAlign w:val="bottom"/>
              </w:tcPr>
              <w:p w14:paraId="3A6114E7" w14:textId="77777777" w:rsidR="00F14B46" w:rsidRDefault="00F14B46" w:rsidP="001C0487">
                <w:pPr>
                  <w:jc w:val="right"/>
                  <w:rPr>
                    <w:color w:val="000000"/>
                    <w:sz w:val="20"/>
                  </w:rPr>
                </w:pPr>
                <w:r>
                  <w:rPr>
                    <w:color w:val="000000"/>
                    <w:sz w:val="20"/>
                  </w:rPr>
                  <w:t>—</w:t>
                </w:r>
              </w:p>
            </w:tc>
            <w:tc>
              <w:tcPr>
                <w:tcW w:w="50" w:type="pct"/>
                <w:shd w:val="clear" w:color="auto" w:fill="CFF0FC"/>
                <w:noWrap/>
                <w:tcMar>
                  <w:top w:w="15" w:type="dxa"/>
                  <w:left w:w="0" w:type="dxa"/>
                  <w:bottom w:w="0" w:type="dxa"/>
                  <w:right w:w="15" w:type="dxa"/>
                </w:tcMar>
                <w:vAlign w:val="bottom"/>
              </w:tcPr>
              <w:p w14:paraId="396BB8D6" w14:textId="77777777" w:rsidR="00F14B46" w:rsidRDefault="00F14B46" w:rsidP="001C0487">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749EB830" w14:textId="77777777" w:rsidR="00F14B46" w:rsidRDefault="00F14B46" w:rsidP="001C0487">
                <w:pPr>
                  <w:jc w:val="right"/>
                  <w:rPr>
                    <w:color w:val="000000"/>
                    <w:sz w:val="20"/>
                  </w:rPr>
                </w:pPr>
                <w:r>
                  <w:rPr>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80D1076"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CFF0FC"/>
                <w:noWrap/>
                <w:tcMar>
                  <w:top w:w="15" w:type="dxa"/>
                  <w:left w:w="0" w:type="dxa"/>
                  <w:bottom w:w="0" w:type="dxa"/>
                  <w:right w:w="15" w:type="dxa"/>
                </w:tcMar>
                <w:vAlign w:val="bottom"/>
              </w:tcPr>
              <w:p w14:paraId="783D3EA1" w14:textId="77777777" w:rsidR="00F14B46" w:rsidRDefault="00F14B46" w:rsidP="001C0487">
                <w:pPr>
                  <w:jc w:val="right"/>
                  <w:rPr>
                    <w:color w:val="000000"/>
                    <w:sz w:val="20"/>
                  </w:rPr>
                </w:pPr>
                <w:r>
                  <w:rPr>
                    <w:color w:val="000000"/>
                    <w:sz w:val="20"/>
                  </w:rPr>
                  <w:t>78,606</w:t>
                </w:r>
              </w:p>
            </w:tc>
            <w:tc>
              <w:tcPr>
                <w:tcW w:w="50" w:type="pct"/>
                <w:shd w:val="clear" w:color="auto" w:fill="CFF0FC"/>
                <w:noWrap/>
                <w:tcMar>
                  <w:top w:w="15" w:type="dxa"/>
                  <w:left w:w="0" w:type="dxa"/>
                  <w:bottom w:w="0" w:type="dxa"/>
                  <w:right w:w="15" w:type="dxa"/>
                </w:tcMar>
                <w:vAlign w:val="bottom"/>
              </w:tcPr>
              <w:p w14:paraId="6098966E"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58CFE22F" w14:textId="77777777" w:rsidR="00F14B46" w:rsidRDefault="00F14B46" w:rsidP="001C0487">
                <w:pPr>
                  <w:rPr>
                    <w:rFonts w:ascii="Calibri"/>
                    <w:color w:val="000000"/>
                  </w:rPr>
                </w:pPr>
                <w:r>
                  <w:rPr>
                    <w:rFonts w:ascii="Calibri"/>
                    <w:color w:val="000000"/>
                  </w:rPr>
                  <w:t xml:space="preserve"> </w:t>
                </w:r>
              </w:p>
            </w:tc>
          </w:tr>
          <w:tr w:rsidR="00F14B46" w14:paraId="01BF3C8A" w14:textId="77777777">
            <w:trPr>
              <w:cantSplit/>
            </w:trPr>
            <w:tc>
              <w:tcPr>
                <w:tcW w:w="2874" w:type="pct"/>
                <w:shd w:val="clear" w:color="auto" w:fill="FFFFFF"/>
                <w:tcMar>
                  <w:top w:w="15" w:type="dxa"/>
                  <w:left w:w="0" w:type="dxa"/>
                  <w:bottom w:w="0" w:type="dxa"/>
                  <w:right w:w="15" w:type="dxa"/>
                </w:tcMar>
                <w:vAlign w:val="bottom"/>
              </w:tcPr>
              <w:p w14:paraId="3C229CD7" w14:textId="77777777" w:rsidR="00F14B46" w:rsidRDefault="00F14B46" w:rsidP="001C0487">
                <w:pPr>
                  <w:keepNext/>
                  <w:rPr>
                    <w:rFonts w:ascii="Calibri"/>
                    <w:color w:val="000000"/>
                  </w:rPr>
                </w:pPr>
                <w:r>
                  <w:rPr>
                    <w:rFonts w:ascii="Calibri"/>
                    <w:color w:val="000000"/>
                  </w:rPr>
                  <w:t>Non-GAAP basis</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6E7AD8A"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0F93AE8" w14:textId="77777777" w:rsidR="00F14B46" w:rsidRDefault="00F14B46">
                <w:pPr>
                  <w:jc w:val="right"/>
                  <w:rPr>
                    <w:color w:val="000000"/>
                    <w:sz w:val="20"/>
                  </w:rPr>
                </w:pPr>
                <w:r>
                  <w:rPr>
                    <w:color w:val="000000"/>
                    <w:sz w:val="20"/>
                  </w:rPr>
                  <w:t>1,361,791</w:t>
                </w:r>
              </w:p>
            </w:tc>
            <w:tc>
              <w:tcPr>
                <w:tcW w:w="50" w:type="pct"/>
                <w:shd w:val="clear" w:color="auto" w:fill="FFFFFF"/>
                <w:noWrap/>
                <w:tcMar>
                  <w:top w:w="15" w:type="dxa"/>
                  <w:left w:w="0" w:type="dxa"/>
                  <w:bottom w:w="0" w:type="dxa"/>
                  <w:right w:w="15" w:type="dxa"/>
                </w:tcMar>
                <w:vAlign w:val="bottom"/>
              </w:tcPr>
              <w:p w14:paraId="0455C3D5"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694664EB"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C9A8175"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E654988" w14:textId="77777777" w:rsidR="00F14B46" w:rsidRDefault="00F14B46">
                <w:pPr>
                  <w:jc w:val="right"/>
                  <w:rPr>
                    <w:color w:val="000000"/>
                    <w:sz w:val="20"/>
                  </w:rPr>
                </w:pPr>
                <w:r>
                  <w:rPr>
                    <w:color w:val="000000"/>
                    <w:sz w:val="20"/>
                  </w:rPr>
                  <w:t>326,769</w:t>
                </w:r>
              </w:p>
            </w:tc>
            <w:tc>
              <w:tcPr>
                <w:tcW w:w="50" w:type="pct"/>
                <w:shd w:val="clear" w:color="auto" w:fill="FFFFFF"/>
                <w:noWrap/>
                <w:tcMar>
                  <w:top w:w="15" w:type="dxa"/>
                  <w:left w:w="0" w:type="dxa"/>
                  <w:bottom w:w="0" w:type="dxa"/>
                  <w:right w:w="15" w:type="dxa"/>
                </w:tcMar>
                <w:vAlign w:val="bottom"/>
              </w:tcPr>
              <w:p w14:paraId="6EC2D30D"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43278219"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DB6D3F8"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9EEB798" w14:textId="77777777" w:rsidR="00F14B46" w:rsidRDefault="00F14B46">
                <w:pPr>
                  <w:jc w:val="right"/>
                  <w:rPr>
                    <w:color w:val="000000"/>
                    <w:sz w:val="20"/>
                  </w:rPr>
                </w:pPr>
                <w:r>
                  <w:rPr>
                    <w:color w:val="000000"/>
                    <w:sz w:val="20"/>
                  </w:rPr>
                  <w:t>1,035,022</w:t>
                </w:r>
              </w:p>
            </w:tc>
            <w:tc>
              <w:tcPr>
                <w:tcW w:w="50" w:type="pct"/>
                <w:shd w:val="clear" w:color="auto" w:fill="FFFFFF"/>
                <w:noWrap/>
                <w:tcMar>
                  <w:top w:w="15" w:type="dxa"/>
                  <w:left w:w="0" w:type="dxa"/>
                  <w:bottom w:w="0" w:type="dxa"/>
                  <w:right w:w="15" w:type="dxa"/>
                </w:tcMar>
                <w:vAlign w:val="bottom"/>
              </w:tcPr>
              <w:p w14:paraId="66062EA3"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16381D0D" w14:textId="77777777" w:rsidR="00F14B46" w:rsidRDefault="00F14B46" w:rsidP="001C0487">
                <w:pPr>
                  <w:rPr>
                    <w:rFonts w:ascii="Calibri"/>
                    <w:color w:val="000000"/>
                  </w:rPr>
                </w:pPr>
                <w:r>
                  <w:rPr>
                    <w:rFonts w:ascii="Calibri"/>
                    <w:color w:val="000000"/>
                  </w:rPr>
                  <w:t xml:space="preserve"> </w:t>
                </w:r>
              </w:p>
            </w:tc>
          </w:tr>
          <w:tr w:rsidR="00F14B46" w14:paraId="4794965E" w14:textId="77777777">
            <w:trPr>
              <w:cantSplit/>
            </w:trPr>
            <w:tc>
              <w:tcPr>
                <w:tcW w:w="2874" w:type="pct"/>
                <w:shd w:val="clear" w:color="auto" w:fill="FFFFFF"/>
                <w:tcMar>
                  <w:top w:w="15" w:type="dxa"/>
                  <w:left w:w="0" w:type="dxa"/>
                  <w:bottom w:w="0" w:type="dxa"/>
                  <w:right w:w="15" w:type="dxa"/>
                </w:tcMar>
                <w:vAlign w:val="bottom"/>
              </w:tcPr>
              <w:p w14:paraId="2082322E" w14:textId="77777777" w:rsidR="00F14B46" w:rsidRDefault="00F14B46" w:rsidP="001C0487">
                <w:pPr>
                  <w:keepNext/>
                  <w:rPr>
                    <w:rFonts w:ascii="Calibri"/>
                    <w:color w:val="000000"/>
                  </w:rPr>
                </w:pPr>
                <w:r>
                  <w:rPr>
                    <w:rFonts w:ascii="Calibri"/>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DCBE375" w14:textId="77777777" w:rsidR="00F14B46" w:rsidRDefault="00F14B46" w:rsidP="001C0487">
                <w:pPr>
                  <w:rPr>
                    <w:color w:val="000000"/>
                    <w:sz w:val="20"/>
                  </w:rPr>
                </w:pPr>
                <w:r>
                  <w:rPr>
                    <w:color w:val="000000"/>
                    <w:sz w:val="2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51E1DAB1" w14:textId="77777777" w:rsidR="00F14B46" w:rsidRDefault="00F14B46" w:rsidP="001C0487">
                <w:pPr>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608F9450"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7F399CFF" w14:textId="77777777" w:rsidR="00F14B46" w:rsidRDefault="00F14B46" w:rsidP="001C0487">
                <w:pPr>
                  <w:jc w:val="right"/>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048DDF8" w14:textId="77777777" w:rsidR="00F14B46" w:rsidRDefault="00F14B46" w:rsidP="001C0487">
                <w:pPr>
                  <w:rPr>
                    <w:color w:val="000000"/>
                    <w:sz w:val="20"/>
                  </w:rPr>
                </w:pPr>
                <w:r>
                  <w:rPr>
                    <w:color w:val="000000"/>
                    <w:sz w:val="2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66784C55" w14:textId="77777777" w:rsidR="00F14B46" w:rsidRDefault="00F14B46" w:rsidP="001C0487">
                <w:pPr>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30153F88"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3A331867" w14:textId="77777777" w:rsidR="00F14B46" w:rsidRDefault="00F14B46" w:rsidP="001C0487">
                <w:pPr>
                  <w:jc w:val="right"/>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53BF2A5" w14:textId="77777777" w:rsidR="00F14B46" w:rsidRDefault="00F14B46" w:rsidP="001C0487">
                <w:pPr>
                  <w:rPr>
                    <w:color w:val="000000"/>
                    <w:sz w:val="20"/>
                  </w:rPr>
                </w:pPr>
                <w:r>
                  <w:rPr>
                    <w:color w:val="000000"/>
                    <w:sz w:val="2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77D88BDD" w14:textId="77777777" w:rsidR="00F14B46" w:rsidRDefault="00F14B46" w:rsidP="001C0487">
                <w:pPr>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97A9B04"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7F99BA7F" w14:textId="77777777" w:rsidR="00F14B46" w:rsidRDefault="00F14B46" w:rsidP="001C0487">
                <w:pPr>
                  <w:rPr>
                    <w:rFonts w:ascii="Calibri"/>
                    <w:color w:val="000000"/>
                  </w:rPr>
                </w:pPr>
                <w:r>
                  <w:rPr>
                    <w:rFonts w:ascii="Calibri"/>
                    <w:color w:val="000000"/>
                  </w:rPr>
                  <w:t xml:space="preserve"> </w:t>
                </w:r>
              </w:p>
            </w:tc>
          </w:tr>
          <w:tr w:rsidR="00F14B46" w14:paraId="517E903E" w14:textId="77777777">
            <w:trPr>
              <w:cantSplit/>
            </w:trPr>
            <w:tc>
              <w:tcPr>
                <w:tcW w:w="2874" w:type="pct"/>
                <w:shd w:val="clear" w:color="auto" w:fill="FFFFFF"/>
                <w:tcMar>
                  <w:top w:w="15" w:type="dxa"/>
                  <w:left w:w="0" w:type="dxa"/>
                  <w:bottom w:w="0" w:type="dxa"/>
                  <w:right w:w="15" w:type="dxa"/>
                </w:tcMar>
                <w:vAlign w:val="bottom"/>
              </w:tcPr>
              <w:p w14:paraId="2A597448" w14:textId="77777777" w:rsidR="00F14B46" w:rsidRDefault="00F14B46" w:rsidP="001C0487">
                <w:pPr>
                  <w:keepNext/>
                  <w:rPr>
                    <w:rFonts w:ascii="Calibri"/>
                    <w:color w:val="000000"/>
                  </w:rPr>
                </w:pPr>
                <w:r>
                  <w:rPr>
                    <w:rFonts w:ascii="Calibri"/>
                    <w:color w:val="000000"/>
                  </w:rPr>
                  <w:t xml:space="preserve"> </w:t>
                </w:r>
              </w:p>
            </w:tc>
            <w:tc>
              <w:tcPr>
                <w:tcW w:w="2005" w:type="pct"/>
                <w:gridSpan w:val="10"/>
                <w:tcBorders>
                  <w:bottom w:val="single" w:sz="2" w:space="0" w:color="000000"/>
                </w:tcBorders>
                <w:shd w:val="clear" w:color="auto" w:fill="FFFFFF"/>
                <w:tcMar>
                  <w:top w:w="15" w:type="dxa"/>
                  <w:left w:w="0" w:type="dxa"/>
                  <w:bottom w:w="0" w:type="dxa"/>
                  <w:right w:w="15" w:type="dxa"/>
                </w:tcMar>
                <w:vAlign w:val="bottom"/>
              </w:tcPr>
              <w:p w14:paraId="44CEC9B8" w14:textId="77777777" w:rsidR="00F14B46" w:rsidRDefault="00F14B46" w:rsidP="001C0487">
                <w:pPr>
                  <w:jc w:val="center"/>
                  <w:rPr>
                    <w:rFonts w:ascii="Calibri"/>
                    <w:b/>
                    <w:color w:val="000000"/>
                  </w:rPr>
                </w:pPr>
                <w:r>
                  <w:rPr>
                    <w:rFonts w:ascii="Calibri"/>
                    <w:b/>
                    <w:color w:val="000000"/>
                  </w:rPr>
                  <w:t>Three months ended September 30, 2019</w:t>
                </w:r>
              </w:p>
            </w:tc>
            <w:tc>
              <w:tcPr>
                <w:tcW w:w="50" w:type="pct"/>
                <w:shd w:val="clear" w:color="auto" w:fill="FFFFFF"/>
                <w:noWrap/>
                <w:tcMar>
                  <w:top w:w="15" w:type="dxa"/>
                  <w:left w:w="0" w:type="dxa"/>
                  <w:bottom w:w="0" w:type="dxa"/>
                  <w:right w:w="15" w:type="dxa"/>
                </w:tcMar>
                <w:vAlign w:val="bottom"/>
              </w:tcPr>
              <w:p w14:paraId="4C1D7055" w14:textId="77777777" w:rsidR="00F14B46" w:rsidRDefault="00F14B46" w:rsidP="001C0487">
                <w:pPr>
                  <w:rPr>
                    <w:rFonts w:ascii="Calibri"/>
                    <w:b/>
                    <w:color w:val="000000"/>
                  </w:rPr>
                </w:pPr>
                <w:r>
                  <w:rPr>
                    <w:rFonts w:ascii="Calibri"/>
                    <w:b/>
                    <w:color w:val="000000"/>
                  </w:rPr>
                  <w:t xml:space="preserve"> </w:t>
                </w:r>
              </w:p>
            </w:tc>
            <w:tc>
              <w:tcPr>
                <w:tcW w:w="69" w:type="pct"/>
                <w:shd w:val="clear" w:color="auto" w:fill="FFFFFF"/>
                <w:tcMar>
                  <w:top w:w="15" w:type="dxa"/>
                  <w:left w:w="0" w:type="dxa"/>
                  <w:bottom w:w="0" w:type="dxa"/>
                  <w:right w:w="15" w:type="dxa"/>
                </w:tcMar>
                <w:vAlign w:val="bottom"/>
              </w:tcPr>
              <w:p w14:paraId="206B5A94" w14:textId="77777777" w:rsidR="00F14B46" w:rsidRDefault="00F14B46" w:rsidP="001C0487">
                <w:pPr>
                  <w:rPr>
                    <w:rFonts w:ascii="Calibri"/>
                    <w:color w:val="000000"/>
                  </w:rPr>
                </w:pPr>
                <w:r>
                  <w:rPr>
                    <w:rFonts w:ascii="Calibri"/>
                    <w:color w:val="000000"/>
                  </w:rPr>
                  <w:t xml:space="preserve"> </w:t>
                </w:r>
              </w:p>
            </w:tc>
          </w:tr>
          <w:tr w:rsidR="00F14B46" w14:paraId="6D5A066B" w14:textId="77777777">
            <w:trPr>
              <w:cantSplit/>
            </w:trPr>
            <w:tc>
              <w:tcPr>
                <w:tcW w:w="2874" w:type="pct"/>
                <w:shd w:val="clear" w:color="auto" w:fill="FFFFFF"/>
                <w:tcMar>
                  <w:top w:w="15" w:type="dxa"/>
                  <w:left w:w="0" w:type="dxa"/>
                  <w:bottom w:w="0" w:type="dxa"/>
                  <w:right w:w="15" w:type="dxa"/>
                </w:tcMar>
                <w:vAlign w:val="bottom"/>
              </w:tcPr>
              <w:p w14:paraId="7F70885D" w14:textId="77777777" w:rsidR="00F14B46" w:rsidRDefault="00F14B46" w:rsidP="001C0487">
                <w:pPr>
                  <w:keepNext/>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B2C62EE" w14:textId="77777777" w:rsidR="00F14B46" w:rsidRDefault="00F14B46" w:rsidP="001C0487">
                <w:pPr>
                  <w:jc w:val="center"/>
                  <w:rPr>
                    <w:rFonts w:ascii="Calibri"/>
                    <w:color w:val="000000"/>
                  </w:rPr>
                </w:pPr>
                <w:r>
                  <w:rPr>
                    <w:rFonts w:ascii="Calibri"/>
                    <w:color w:val="000000"/>
                  </w:rPr>
                  <w:t>Income Before Income Taxes</w:t>
                </w:r>
              </w:p>
            </w:tc>
            <w:tc>
              <w:tcPr>
                <w:tcW w:w="50" w:type="pct"/>
                <w:shd w:val="clear" w:color="auto" w:fill="FFFFFF"/>
                <w:noWrap/>
                <w:tcMar>
                  <w:top w:w="15" w:type="dxa"/>
                  <w:left w:w="0" w:type="dxa"/>
                  <w:bottom w:w="0" w:type="dxa"/>
                  <w:right w:w="15" w:type="dxa"/>
                </w:tcMar>
                <w:vAlign w:val="bottom"/>
              </w:tcPr>
              <w:p w14:paraId="10DC03C7" w14:textId="77777777" w:rsidR="00F14B46" w:rsidRDefault="00F14B46" w:rsidP="001C0487">
                <w:pPr>
                  <w:rPr>
                    <w:rFonts w:ascii="Calibri"/>
                    <w:color w:val="000000"/>
                  </w:rPr>
                </w:pPr>
                <w:r>
                  <w:rPr>
                    <w:rFonts w:ascii="Calibri"/>
                    <w:color w:val="000000"/>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6389AF6D" w14:textId="77777777" w:rsidR="00F14B46" w:rsidRDefault="00F14B46" w:rsidP="001C0487">
                <w:pPr>
                  <w:jc w:val="center"/>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41BC30A" w14:textId="77777777" w:rsidR="00F14B46" w:rsidRDefault="00F14B46" w:rsidP="001C0487">
                <w:pPr>
                  <w:jc w:val="center"/>
                  <w:rPr>
                    <w:rFonts w:ascii="Calibri"/>
                    <w:color w:val="000000"/>
                  </w:rPr>
                </w:pPr>
                <w:r>
                  <w:rPr>
                    <w:rFonts w:ascii="Calibri"/>
                    <w:color w:val="000000"/>
                  </w:rPr>
                  <w:t>Provision for Income Taxes</w:t>
                </w:r>
              </w:p>
            </w:tc>
            <w:tc>
              <w:tcPr>
                <w:tcW w:w="50" w:type="pct"/>
                <w:shd w:val="clear" w:color="auto" w:fill="FFFFFF"/>
                <w:noWrap/>
                <w:tcMar>
                  <w:top w:w="15" w:type="dxa"/>
                  <w:left w:w="0" w:type="dxa"/>
                  <w:bottom w:w="0" w:type="dxa"/>
                  <w:right w:w="15" w:type="dxa"/>
                </w:tcMar>
                <w:vAlign w:val="bottom"/>
              </w:tcPr>
              <w:p w14:paraId="28161354" w14:textId="77777777" w:rsidR="00F14B46" w:rsidRDefault="00F14B46" w:rsidP="001C0487">
                <w:pPr>
                  <w:rPr>
                    <w:rFonts w:ascii="Calibri"/>
                    <w:color w:val="000000"/>
                  </w:rPr>
                </w:pPr>
                <w:r>
                  <w:rPr>
                    <w:rFonts w:ascii="Calibri"/>
                    <w:color w:val="000000"/>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71F035EF" w14:textId="77777777" w:rsidR="00F14B46" w:rsidRDefault="00F14B46" w:rsidP="001C0487">
                <w:pPr>
                  <w:jc w:val="center"/>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7520969" w14:textId="77777777" w:rsidR="00F14B46" w:rsidRDefault="00F14B46" w:rsidP="001C0487">
                <w:pPr>
                  <w:jc w:val="center"/>
                  <w:rPr>
                    <w:rFonts w:ascii="Calibri"/>
                    <w:color w:val="000000"/>
                  </w:rPr>
                </w:pPr>
                <w:r>
                  <w:rPr>
                    <w:rFonts w:ascii="Calibri"/>
                    <w:color w:val="000000"/>
                  </w:rPr>
                  <w:t>Net Income</w:t>
                </w:r>
              </w:p>
            </w:tc>
            <w:tc>
              <w:tcPr>
                <w:tcW w:w="50" w:type="pct"/>
                <w:shd w:val="clear" w:color="auto" w:fill="FFFFFF"/>
                <w:noWrap/>
                <w:tcMar>
                  <w:top w:w="15" w:type="dxa"/>
                  <w:left w:w="0" w:type="dxa"/>
                  <w:bottom w:w="0" w:type="dxa"/>
                  <w:right w:w="15" w:type="dxa"/>
                </w:tcMar>
                <w:vAlign w:val="bottom"/>
              </w:tcPr>
              <w:p w14:paraId="113FD717" w14:textId="77777777" w:rsidR="00F14B46" w:rsidRDefault="00F14B46" w:rsidP="001C0487">
                <w:pPr>
                  <w:rPr>
                    <w:rFonts w:ascii="Calibri"/>
                    <w:color w:val="000000"/>
                  </w:rPr>
                </w:pPr>
                <w:r>
                  <w:rPr>
                    <w:rFonts w:ascii="Calibri"/>
                    <w:color w:val="000000"/>
                  </w:rPr>
                  <w:t xml:space="preserve"> </w:t>
                </w:r>
              </w:p>
            </w:tc>
            <w:tc>
              <w:tcPr>
                <w:tcW w:w="69" w:type="pct"/>
                <w:shd w:val="clear" w:color="auto" w:fill="FFFFFF"/>
                <w:tcMar>
                  <w:top w:w="15" w:type="dxa"/>
                  <w:left w:w="0" w:type="dxa"/>
                  <w:bottom w:w="0" w:type="dxa"/>
                  <w:right w:w="15" w:type="dxa"/>
                </w:tcMar>
                <w:vAlign w:val="bottom"/>
              </w:tcPr>
              <w:p w14:paraId="592B4DF1" w14:textId="77777777" w:rsidR="00F14B46" w:rsidRDefault="00F14B46" w:rsidP="001C0487">
                <w:pPr>
                  <w:rPr>
                    <w:rFonts w:ascii="Calibri"/>
                    <w:color w:val="000000"/>
                  </w:rPr>
                </w:pPr>
                <w:r>
                  <w:rPr>
                    <w:rFonts w:ascii="Calibri"/>
                    <w:color w:val="000000"/>
                  </w:rPr>
                  <w:t xml:space="preserve"> </w:t>
                </w:r>
              </w:p>
            </w:tc>
          </w:tr>
          <w:tr w:rsidR="00F14B46" w14:paraId="194AE8C5" w14:textId="77777777">
            <w:trPr>
              <w:cantSplit/>
            </w:trPr>
            <w:tc>
              <w:tcPr>
                <w:tcW w:w="2874" w:type="pct"/>
                <w:shd w:val="clear" w:color="auto" w:fill="CFF0FC"/>
                <w:tcMar>
                  <w:top w:w="15" w:type="dxa"/>
                  <w:left w:w="0" w:type="dxa"/>
                  <w:bottom w:w="0" w:type="dxa"/>
                  <w:right w:w="15" w:type="dxa"/>
                </w:tcMar>
                <w:vAlign w:val="bottom"/>
              </w:tcPr>
              <w:p w14:paraId="31B517FB" w14:textId="77777777" w:rsidR="00F14B46" w:rsidRDefault="00F14B46" w:rsidP="001C0487">
                <w:pPr>
                  <w:keepNext/>
                  <w:rPr>
                    <w:color w:val="000000"/>
                    <w:sz w:val="20"/>
                  </w:rPr>
                </w:pPr>
                <w:r>
                  <w:rPr>
                    <w:color w:val="000000"/>
                    <w:sz w:val="20"/>
                  </w:rPr>
                  <w:t xml:space="preserve"> GAAP basis</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B65BB3F"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CFF0FC"/>
                <w:noWrap/>
                <w:tcMar>
                  <w:top w:w="15" w:type="dxa"/>
                  <w:left w:w="0" w:type="dxa"/>
                  <w:bottom w:w="0" w:type="dxa"/>
                  <w:right w:w="15" w:type="dxa"/>
                </w:tcMar>
                <w:vAlign w:val="bottom"/>
              </w:tcPr>
              <w:p w14:paraId="58CD292A" w14:textId="77777777" w:rsidR="00F14B46" w:rsidRDefault="00F14B46">
                <w:pPr>
                  <w:jc w:val="right"/>
                  <w:rPr>
                    <w:color w:val="000000"/>
                    <w:sz w:val="20"/>
                  </w:rPr>
                </w:pPr>
                <w:r>
                  <w:rPr>
                    <w:color w:val="000000"/>
                    <w:sz w:val="20"/>
                  </w:rPr>
                  <w:t>944,221</w:t>
                </w:r>
              </w:p>
            </w:tc>
            <w:tc>
              <w:tcPr>
                <w:tcW w:w="50" w:type="pct"/>
                <w:shd w:val="clear" w:color="auto" w:fill="CFF0FC"/>
                <w:noWrap/>
                <w:tcMar>
                  <w:top w:w="15" w:type="dxa"/>
                  <w:left w:w="0" w:type="dxa"/>
                  <w:bottom w:w="0" w:type="dxa"/>
                  <w:right w:w="15" w:type="dxa"/>
                </w:tcMar>
                <w:vAlign w:val="bottom"/>
              </w:tcPr>
              <w:p w14:paraId="51B122D3" w14:textId="77777777" w:rsidR="00F14B46" w:rsidRDefault="00F14B46">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1391C814"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AB56F6C"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CFF0FC"/>
                <w:noWrap/>
                <w:tcMar>
                  <w:top w:w="15" w:type="dxa"/>
                  <w:left w:w="0" w:type="dxa"/>
                  <w:bottom w:w="0" w:type="dxa"/>
                  <w:right w:w="15" w:type="dxa"/>
                </w:tcMar>
                <w:vAlign w:val="bottom"/>
              </w:tcPr>
              <w:p w14:paraId="7D8058FF" w14:textId="77777777" w:rsidR="00F14B46" w:rsidRDefault="00F14B46">
                <w:pPr>
                  <w:jc w:val="right"/>
                  <w:rPr>
                    <w:color w:val="000000"/>
                    <w:sz w:val="20"/>
                  </w:rPr>
                </w:pPr>
                <w:r>
                  <w:rPr>
                    <w:color w:val="000000"/>
                    <w:sz w:val="20"/>
                  </w:rPr>
                  <w:t>273,207</w:t>
                </w:r>
              </w:p>
            </w:tc>
            <w:tc>
              <w:tcPr>
                <w:tcW w:w="50" w:type="pct"/>
                <w:shd w:val="clear" w:color="auto" w:fill="CFF0FC"/>
                <w:noWrap/>
                <w:tcMar>
                  <w:top w:w="15" w:type="dxa"/>
                  <w:left w:w="0" w:type="dxa"/>
                  <w:bottom w:w="0" w:type="dxa"/>
                  <w:right w:w="15" w:type="dxa"/>
                </w:tcMar>
                <w:vAlign w:val="bottom"/>
              </w:tcPr>
              <w:p w14:paraId="3FE33BE0" w14:textId="77777777" w:rsidR="00F14B46" w:rsidRDefault="00F14B46">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0B7CE95A"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210E787"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CFF0FC"/>
                <w:noWrap/>
                <w:tcMar>
                  <w:top w:w="15" w:type="dxa"/>
                  <w:left w:w="0" w:type="dxa"/>
                  <w:bottom w:w="0" w:type="dxa"/>
                  <w:right w:w="15" w:type="dxa"/>
                </w:tcMar>
                <w:vAlign w:val="bottom"/>
              </w:tcPr>
              <w:p w14:paraId="6D8F0AF8" w14:textId="77777777" w:rsidR="00F14B46" w:rsidRDefault="00F14B46">
                <w:pPr>
                  <w:jc w:val="right"/>
                  <w:rPr>
                    <w:color w:val="000000"/>
                    <w:sz w:val="20"/>
                  </w:rPr>
                </w:pPr>
                <w:r>
                  <w:rPr>
                    <w:color w:val="000000"/>
                    <w:sz w:val="20"/>
                  </w:rPr>
                  <w:t>671,014</w:t>
                </w:r>
              </w:p>
            </w:tc>
            <w:tc>
              <w:tcPr>
                <w:tcW w:w="50" w:type="pct"/>
                <w:shd w:val="clear" w:color="auto" w:fill="CFF0FC"/>
                <w:noWrap/>
                <w:tcMar>
                  <w:top w:w="15" w:type="dxa"/>
                  <w:left w:w="0" w:type="dxa"/>
                  <w:bottom w:w="0" w:type="dxa"/>
                  <w:right w:w="15" w:type="dxa"/>
                </w:tcMar>
                <w:vAlign w:val="bottom"/>
              </w:tcPr>
              <w:p w14:paraId="23A4BFA3"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0258874B" w14:textId="77777777" w:rsidR="00F14B46" w:rsidRDefault="00F14B46" w:rsidP="001C0487">
                <w:pPr>
                  <w:rPr>
                    <w:rFonts w:ascii="Calibri"/>
                    <w:color w:val="000000"/>
                  </w:rPr>
                </w:pPr>
                <w:r>
                  <w:rPr>
                    <w:rFonts w:ascii="Calibri"/>
                    <w:color w:val="000000"/>
                  </w:rPr>
                  <w:t xml:space="preserve"> </w:t>
                </w:r>
              </w:p>
            </w:tc>
          </w:tr>
          <w:tr w:rsidR="00F14B46" w14:paraId="78B7A5A8" w14:textId="77777777">
            <w:trPr>
              <w:cantSplit/>
            </w:trPr>
            <w:tc>
              <w:tcPr>
                <w:tcW w:w="2874" w:type="pct"/>
                <w:shd w:val="clear" w:color="auto" w:fill="FFFFFF"/>
                <w:tcMar>
                  <w:top w:w="15" w:type="dxa"/>
                  <w:left w:w="0" w:type="dxa"/>
                  <w:bottom w:w="0" w:type="dxa"/>
                  <w:right w:w="15" w:type="dxa"/>
                </w:tcMar>
                <w:vAlign w:val="bottom"/>
              </w:tcPr>
              <w:p w14:paraId="69D07A99" w14:textId="77777777" w:rsidR="00F14B46" w:rsidRDefault="00F14B46" w:rsidP="001C0487">
                <w:pPr>
                  <w:keepNext/>
                  <w:rPr>
                    <w:rFonts w:ascii="Calibri"/>
                    <w:color w:val="000000"/>
                  </w:rPr>
                </w:pPr>
                <w:r>
                  <w:rPr>
                    <w:rFonts w:ascii="Calibri"/>
                    <w:color w:val="000000"/>
                  </w:rPr>
                  <w:t>Add: merger and acquisition related expenses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DFC36CA"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FFFFFF"/>
                <w:noWrap/>
                <w:tcMar>
                  <w:top w:w="15" w:type="dxa"/>
                  <w:left w:w="0" w:type="dxa"/>
                  <w:bottom w:w="0" w:type="dxa"/>
                  <w:right w:w="15" w:type="dxa"/>
                </w:tcMar>
                <w:vAlign w:val="bottom"/>
              </w:tcPr>
              <w:p w14:paraId="4FCEE336" w14:textId="77777777" w:rsidR="00F14B46" w:rsidRDefault="00F14B46" w:rsidP="001C0487">
                <w:pPr>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4EEF63F6"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50DAA9EF" w14:textId="77777777" w:rsidR="00F14B46" w:rsidRDefault="00F14B46" w:rsidP="001C0487">
                <w:pPr>
                  <w:jc w:val="right"/>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FB6204B"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FFFFFF"/>
                <w:noWrap/>
                <w:tcMar>
                  <w:top w:w="15" w:type="dxa"/>
                  <w:left w:w="0" w:type="dxa"/>
                  <w:bottom w:w="0" w:type="dxa"/>
                  <w:right w:w="15" w:type="dxa"/>
                </w:tcMar>
                <w:vAlign w:val="bottom"/>
              </w:tcPr>
              <w:p w14:paraId="3901E1B8" w14:textId="77777777" w:rsidR="00F14B46" w:rsidRDefault="00F14B46" w:rsidP="001C0487">
                <w:pPr>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183D2F15"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7E43E6EE" w14:textId="77777777" w:rsidR="00F14B46" w:rsidRDefault="00F14B46" w:rsidP="001C0487">
                <w:pPr>
                  <w:jc w:val="right"/>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DFF4268"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FFFFFF"/>
                <w:noWrap/>
                <w:tcMar>
                  <w:top w:w="15" w:type="dxa"/>
                  <w:left w:w="0" w:type="dxa"/>
                  <w:bottom w:w="0" w:type="dxa"/>
                  <w:right w:w="15" w:type="dxa"/>
                </w:tcMar>
                <w:vAlign w:val="bottom"/>
              </w:tcPr>
              <w:p w14:paraId="14A352B2" w14:textId="77777777" w:rsidR="00F14B46" w:rsidRDefault="00F14B46" w:rsidP="001C0487">
                <w:pPr>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58A83202"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47934B2C" w14:textId="77777777" w:rsidR="00F14B46" w:rsidRDefault="00F14B46" w:rsidP="001C0487">
                <w:pPr>
                  <w:rPr>
                    <w:rFonts w:ascii="Calibri"/>
                    <w:color w:val="000000"/>
                  </w:rPr>
                </w:pPr>
                <w:r>
                  <w:rPr>
                    <w:rFonts w:ascii="Calibri"/>
                    <w:color w:val="000000"/>
                  </w:rPr>
                  <w:t xml:space="preserve"> </w:t>
                </w:r>
              </w:p>
            </w:tc>
          </w:tr>
          <w:tr w:rsidR="00F14B46" w14:paraId="77D39B45" w14:textId="77777777">
            <w:trPr>
              <w:cantSplit/>
            </w:trPr>
            <w:tc>
              <w:tcPr>
                <w:tcW w:w="2874" w:type="pct"/>
                <w:shd w:val="clear" w:color="auto" w:fill="CFF0FC"/>
                <w:tcMar>
                  <w:top w:w="15" w:type="dxa"/>
                  <w:left w:w="0" w:type="dxa"/>
                  <w:bottom w:w="0" w:type="dxa"/>
                  <w:right w:w="15" w:type="dxa"/>
                </w:tcMar>
                <w:vAlign w:val="bottom"/>
              </w:tcPr>
              <w:p w14:paraId="385B1398" w14:textId="77777777" w:rsidR="00F14B46" w:rsidRDefault="00F14B46" w:rsidP="001C0487">
                <w:pPr>
                  <w:keepNext/>
                  <w:rPr>
                    <w:color w:val="000000"/>
                    <w:sz w:val="20"/>
                  </w:rPr>
                </w:pPr>
                <w:r>
                  <w:rPr>
                    <w:color w:val="000000"/>
                    <w:sz w:val="20"/>
                  </w:rPr>
                  <w:t xml:space="preserve"> Non-GAAP basis</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90B87E9"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A69B961" w14:textId="77777777" w:rsidR="00F14B46" w:rsidRDefault="00F14B46">
                <w:pPr>
                  <w:jc w:val="right"/>
                  <w:rPr>
                    <w:color w:val="000000"/>
                    <w:sz w:val="20"/>
                  </w:rPr>
                </w:pPr>
                <w:r>
                  <w:rPr>
                    <w:color w:val="000000"/>
                    <w:sz w:val="20"/>
                  </w:rPr>
                  <w:t>944,221</w:t>
                </w:r>
              </w:p>
            </w:tc>
            <w:tc>
              <w:tcPr>
                <w:tcW w:w="50" w:type="pct"/>
                <w:shd w:val="clear" w:color="auto" w:fill="CFF0FC"/>
                <w:noWrap/>
                <w:tcMar>
                  <w:top w:w="15" w:type="dxa"/>
                  <w:left w:w="0" w:type="dxa"/>
                  <w:bottom w:w="0" w:type="dxa"/>
                  <w:right w:w="15" w:type="dxa"/>
                </w:tcMar>
                <w:vAlign w:val="bottom"/>
              </w:tcPr>
              <w:p w14:paraId="74F99FDE" w14:textId="77777777" w:rsidR="00F14B46" w:rsidRDefault="00F14B46">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2776FB7D"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A9ABD5C"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D5F28D2" w14:textId="77777777" w:rsidR="00F14B46" w:rsidRDefault="00F14B46">
                <w:pPr>
                  <w:jc w:val="right"/>
                  <w:rPr>
                    <w:color w:val="000000"/>
                    <w:sz w:val="20"/>
                  </w:rPr>
                </w:pPr>
                <w:r>
                  <w:rPr>
                    <w:color w:val="000000"/>
                    <w:sz w:val="20"/>
                  </w:rPr>
                  <w:t>273,207</w:t>
                </w:r>
              </w:p>
            </w:tc>
            <w:tc>
              <w:tcPr>
                <w:tcW w:w="50" w:type="pct"/>
                <w:shd w:val="clear" w:color="auto" w:fill="CFF0FC"/>
                <w:noWrap/>
                <w:tcMar>
                  <w:top w:w="15" w:type="dxa"/>
                  <w:left w:w="0" w:type="dxa"/>
                  <w:bottom w:w="0" w:type="dxa"/>
                  <w:right w:w="15" w:type="dxa"/>
                </w:tcMar>
                <w:vAlign w:val="bottom"/>
              </w:tcPr>
              <w:p w14:paraId="06ADD530" w14:textId="77777777" w:rsidR="00F14B46" w:rsidRDefault="00F14B46">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55D83E32"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3D6E100"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58298DD" w14:textId="77777777" w:rsidR="00F14B46" w:rsidRDefault="00F14B46">
                <w:pPr>
                  <w:jc w:val="right"/>
                  <w:rPr>
                    <w:color w:val="000000"/>
                    <w:sz w:val="20"/>
                  </w:rPr>
                </w:pPr>
                <w:r>
                  <w:rPr>
                    <w:color w:val="000000"/>
                    <w:sz w:val="20"/>
                  </w:rPr>
                  <w:t>671,014</w:t>
                </w:r>
              </w:p>
            </w:tc>
            <w:tc>
              <w:tcPr>
                <w:tcW w:w="50" w:type="pct"/>
                <w:shd w:val="clear" w:color="auto" w:fill="CFF0FC"/>
                <w:noWrap/>
                <w:tcMar>
                  <w:top w:w="15" w:type="dxa"/>
                  <w:left w:w="0" w:type="dxa"/>
                  <w:bottom w:w="0" w:type="dxa"/>
                  <w:right w:w="15" w:type="dxa"/>
                </w:tcMar>
                <w:vAlign w:val="bottom"/>
              </w:tcPr>
              <w:p w14:paraId="3E2F2449"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318FE1BB" w14:textId="77777777" w:rsidR="00F14B46" w:rsidRDefault="00F14B46" w:rsidP="001C0487">
                <w:pPr>
                  <w:rPr>
                    <w:rFonts w:ascii="Calibri"/>
                    <w:color w:val="000000"/>
                  </w:rPr>
                </w:pPr>
                <w:r>
                  <w:rPr>
                    <w:rFonts w:ascii="Calibri"/>
                    <w:color w:val="000000"/>
                  </w:rPr>
                  <w:t xml:space="preserve"> </w:t>
                </w:r>
              </w:p>
            </w:tc>
          </w:tr>
          <w:tr w:rsidR="00F14B46" w14:paraId="66C019C3" w14:textId="77777777">
            <w:trPr>
              <w:cantSplit/>
            </w:trPr>
            <w:tc>
              <w:tcPr>
                <w:tcW w:w="2874" w:type="pct"/>
                <w:shd w:val="clear" w:color="auto" w:fill="FFFFFF"/>
                <w:tcMar>
                  <w:top w:w="15" w:type="dxa"/>
                  <w:left w:w="0" w:type="dxa"/>
                  <w:bottom w:w="0" w:type="dxa"/>
                  <w:right w:w="15" w:type="dxa"/>
                </w:tcMar>
                <w:vAlign w:val="bottom"/>
              </w:tcPr>
              <w:p w14:paraId="0BF8AC31" w14:textId="77777777" w:rsidR="00F14B46" w:rsidRDefault="00F14B46" w:rsidP="001C0487">
                <w:pPr>
                  <w:keepNext/>
                  <w:rPr>
                    <w:rFonts w:ascii="Calibri"/>
                    <w:color w:val="000000"/>
                  </w:rPr>
                </w:pPr>
                <w:r>
                  <w:rPr>
                    <w:rFonts w:ascii="Calibri"/>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DF28CAB" w14:textId="77777777" w:rsidR="00F14B46" w:rsidRDefault="00F14B46" w:rsidP="001C0487">
                <w:pPr>
                  <w:rPr>
                    <w:rFonts w:ascii="Calibri"/>
                    <w:color w:val="000000"/>
                  </w:rPr>
                </w:pPr>
                <w:r>
                  <w:rPr>
                    <w:rFonts w:ascii="Calibri"/>
                    <w:color w:val="00000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3D0B7727" w14:textId="77777777" w:rsidR="00F14B46" w:rsidRDefault="00F14B46" w:rsidP="001C0487">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7BE6F6BF" w14:textId="77777777" w:rsidR="00F14B46" w:rsidRDefault="00F14B46" w:rsidP="001C0487">
                <w:pPr>
                  <w:rPr>
                    <w:rFonts w:ascii="Calibri"/>
                    <w:color w:val="000000"/>
                  </w:rPr>
                </w:pPr>
                <w:r>
                  <w:rPr>
                    <w:rFonts w:ascii="Calibri"/>
                    <w:color w:val="000000"/>
                  </w:rPr>
                  <w:t xml:space="preserve"> </w:t>
                </w:r>
              </w:p>
            </w:tc>
            <w:tc>
              <w:tcPr>
                <w:tcW w:w="69" w:type="pct"/>
                <w:shd w:val="clear" w:color="auto" w:fill="FFFFFF"/>
                <w:tcMar>
                  <w:top w:w="15" w:type="dxa"/>
                  <w:left w:w="0" w:type="dxa"/>
                  <w:bottom w:w="0" w:type="dxa"/>
                  <w:right w:w="15" w:type="dxa"/>
                </w:tcMar>
                <w:vAlign w:val="bottom"/>
              </w:tcPr>
              <w:p w14:paraId="6694E696" w14:textId="77777777" w:rsidR="00F14B46" w:rsidRDefault="00F14B46" w:rsidP="001C0487">
                <w:pPr>
                  <w:rPr>
                    <w:rFonts w:ascii="Calibri"/>
                    <w:color w:val="000000"/>
                  </w:rPr>
                </w:pPr>
                <w:r>
                  <w:rPr>
                    <w:rFonts w:ascii="Calibri"/>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95EE33A" w14:textId="77777777" w:rsidR="00F14B46" w:rsidRDefault="00F14B46" w:rsidP="001C0487">
                <w:pPr>
                  <w:rPr>
                    <w:rFonts w:ascii="Calibri"/>
                    <w:color w:val="000000"/>
                  </w:rPr>
                </w:pPr>
                <w:r>
                  <w:rPr>
                    <w:rFonts w:ascii="Calibri"/>
                    <w:color w:val="00000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48402700" w14:textId="77777777" w:rsidR="00F14B46" w:rsidRDefault="00F14B46" w:rsidP="001C0487">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6024F973" w14:textId="77777777" w:rsidR="00F14B46" w:rsidRDefault="00F14B46" w:rsidP="001C0487">
                <w:pPr>
                  <w:rPr>
                    <w:rFonts w:ascii="Calibri"/>
                    <w:color w:val="000000"/>
                  </w:rPr>
                </w:pPr>
                <w:r>
                  <w:rPr>
                    <w:rFonts w:ascii="Calibri"/>
                    <w:color w:val="000000"/>
                  </w:rPr>
                  <w:t xml:space="preserve"> </w:t>
                </w:r>
              </w:p>
            </w:tc>
            <w:tc>
              <w:tcPr>
                <w:tcW w:w="69" w:type="pct"/>
                <w:shd w:val="clear" w:color="auto" w:fill="FFFFFF"/>
                <w:tcMar>
                  <w:top w:w="15" w:type="dxa"/>
                  <w:left w:w="0" w:type="dxa"/>
                  <w:bottom w:w="0" w:type="dxa"/>
                  <w:right w:w="15" w:type="dxa"/>
                </w:tcMar>
                <w:vAlign w:val="bottom"/>
              </w:tcPr>
              <w:p w14:paraId="05829170" w14:textId="77777777" w:rsidR="00F14B46" w:rsidRDefault="00F14B46" w:rsidP="001C0487">
                <w:pPr>
                  <w:rPr>
                    <w:rFonts w:ascii="Calibri"/>
                    <w:color w:val="000000"/>
                  </w:rPr>
                </w:pPr>
                <w:r>
                  <w:rPr>
                    <w:rFonts w:ascii="Calibri"/>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D12354C" w14:textId="77777777" w:rsidR="00F14B46" w:rsidRDefault="00F14B46" w:rsidP="001C0487">
                <w:pPr>
                  <w:rPr>
                    <w:rFonts w:ascii="Calibri"/>
                    <w:color w:val="000000"/>
                  </w:rPr>
                </w:pPr>
                <w:r>
                  <w:rPr>
                    <w:rFonts w:ascii="Calibri"/>
                    <w:color w:val="00000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3E93ACFB" w14:textId="77777777" w:rsidR="00F14B46" w:rsidRDefault="00F14B46" w:rsidP="001C0487">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425FE323" w14:textId="77777777" w:rsidR="00F14B46" w:rsidRDefault="00F14B46" w:rsidP="001C0487">
                <w:pPr>
                  <w:rPr>
                    <w:rFonts w:ascii="Calibri"/>
                    <w:color w:val="000000"/>
                  </w:rPr>
                </w:pPr>
                <w:r>
                  <w:rPr>
                    <w:rFonts w:ascii="Calibri"/>
                    <w:color w:val="000000"/>
                  </w:rPr>
                  <w:t xml:space="preserve"> </w:t>
                </w:r>
              </w:p>
            </w:tc>
            <w:tc>
              <w:tcPr>
                <w:tcW w:w="69" w:type="pct"/>
                <w:shd w:val="clear" w:color="auto" w:fill="FFFFFF"/>
                <w:tcMar>
                  <w:top w:w="15" w:type="dxa"/>
                  <w:left w:w="0" w:type="dxa"/>
                  <w:bottom w:w="0" w:type="dxa"/>
                  <w:right w:w="15" w:type="dxa"/>
                </w:tcMar>
                <w:vAlign w:val="bottom"/>
              </w:tcPr>
              <w:p w14:paraId="73999A44" w14:textId="77777777" w:rsidR="00F14B46" w:rsidRDefault="00F14B46" w:rsidP="001C0487">
                <w:pPr>
                  <w:rPr>
                    <w:rFonts w:ascii="Calibri"/>
                    <w:color w:val="000000"/>
                  </w:rPr>
                </w:pPr>
                <w:r>
                  <w:rPr>
                    <w:rFonts w:ascii="Calibri"/>
                    <w:color w:val="000000"/>
                  </w:rPr>
                  <w:t xml:space="preserve"> </w:t>
                </w:r>
              </w:p>
            </w:tc>
          </w:tr>
          <w:tr w:rsidR="00F14B46" w14:paraId="3E739AB8" w14:textId="77777777">
            <w:trPr>
              <w:cantSplit/>
            </w:trPr>
            <w:tc>
              <w:tcPr>
                <w:tcW w:w="2874" w:type="pct"/>
                <w:shd w:val="clear" w:color="auto" w:fill="FFFFFF"/>
                <w:tcMar>
                  <w:top w:w="15" w:type="dxa"/>
                  <w:left w:w="0" w:type="dxa"/>
                  <w:bottom w:w="0" w:type="dxa"/>
                  <w:right w:w="15" w:type="dxa"/>
                </w:tcMar>
                <w:vAlign w:val="bottom"/>
              </w:tcPr>
              <w:p w14:paraId="72A93FCE" w14:textId="77777777" w:rsidR="00F14B46" w:rsidRDefault="00F14B46" w:rsidP="001C0487">
                <w:pPr>
                  <w:keepNext/>
                  <w:rPr>
                    <w:rFonts w:ascii="Calibri"/>
                    <w:color w:val="000000"/>
                  </w:rPr>
                </w:pPr>
                <w:r>
                  <w:rPr>
                    <w:rFonts w:ascii="Calibri"/>
                    <w:color w:val="000000"/>
                  </w:rPr>
                  <w:t xml:space="preserve"> </w:t>
                </w:r>
              </w:p>
            </w:tc>
            <w:tc>
              <w:tcPr>
                <w:tcW w:w="2005" w:type="pct"/>
                <w:gridSpan w:val="10"/>
                <w:tcBorders>
                  <w:bottom w:val="single" w:sz="2" w:space="0" w:color="000000"/>
                </w:tcBorders>
                <w:shd w:val="clear" w:color="auto" w:fill="FFFFFF"/>
                <w:tcMar>
                  <w:top w:w="15" w:type="dxa"/>
                  <w:left w:w="0" w:type="dxa"/>
                  <w:bottom w:w="0" w:type="dxa"/>
                  <w:right w:w="15" w:type="dxa"/>
                </w:tcMar>
                <w:vAlign w:val="bottom"/>
              </w:tcPr>
              <w:p w14:paraId="6201A63D" w14:textId="77777777" w:rsidR="00F14B46" w:rsidRDefault="00F14B46" w:rsidP="001C0487">
                <w:pPr>
                  <w:jc w:val="center"/>
                  <w:rPr>
                    <w:rFonts w:ascii="Calibri"/>
                    <w:b/>
                    <w:color w:val="000000"/>
                  </w:rPr>
                </w:pPr>
                <w:r>
                  <w:rPr>
                    <w:rFonts w:ascii="Calibri"/>
                    <w:b/>
                    <w:color w:val="000000"/>
                  </w:rPr>
                  <w:t>Nine months ended September 30, 2020</w:t>
                </w:r>
              </w:p>
            </w:tc>
            <w:tc>
              <w:tcPr>
                <w:tcW w:w="50" w:type="pct"/>
                <w:shd w:val="clear" w:color="auto" w:fill="FFFFFF"/>
                <w:noWrap/>
                <w:tcMar>
                  <w:top w:w="15" w:type="dxa"/>
                  <w:left w:w="0" w:type="dxa"/>
                  <w:bottom w:w="0" w:type="dxa"/>
                  <w:right w:w="15" w:type="dxa"/>
                </w:tcMar>
                <w:vAlign w:val="bottom"/>
              </w:tcPr>
              <w:p w14:paraId="74535B48" w14:textId="77777777" w:rsidR="00F14B46" w:rsidRDefault="00F14B46" w:rsidP="001C0487">
                <w:pPr>
                  <w:rPr>
                    <w:rFonts w:ascii="Calibri"/>
                    <w:b/>
                    <w:color w:val="000000"/>
                  </w:rPr>
                </w:pPr>
                <w:r>
                  <w:rPr>
                    <w:rFonts w:ascii="Calibri"/>
                    <w:b/>
                    <w:color w:val="000000"/>
                  </w:rPr>
                  <w:t xml:space="preserve"> </w:t>
                </w:r>
              </w:p>
            </w:tc>
            <w:tc>
              <w:tcPr>
                <w:tcW w:w="69" w:type="pct"/>
                <w:shd w:val="clear" w:color="auto" w:fill="FFFFFF"/>
                <w:tcMar>
                  <w:top w:w="15" w:type="dxa"/>
                  <w:left w:w="0" w:type="dxa"/>
                  <w:bottom w:w="0" w:type="dxa"/>
                  <w:right w:w="15" w:type="dxa"/>
                </w:tcMar>
                <w:vAlign w:val="bottom"/>
              </w:tcPr>
              <w:p w14:paraId="3CE1D34A" w14:textId="77777777" w:rsidR="00F14B46" w:rsidRDefault="00F14B46" w:rsidP="001C0487">
                <w:pPr>
                  <w:rPr>
                    <w:rFonts w:ascii="Calibri"/>
                    <w:color w:val="000000"/>
                  </w:rPr>
                </w:pPr>
                <w:r>
                  <w:rPr>
                    <w:rFonts w:ascii="Calibri"/>
                    <w:color w:val="000000"/>
                  </w:rPr>
                  <w:t xml:space="preserve"> </w:t>
                </w:r>
              </w:p>
            </w:tc>
          </w:tr>
          <w:tr w:rsidR="00F14B46" w14:paraId="30976673" w14:textId="77777777">
            <w:trPr>
              <w:cantSplit/>
            </w:trPr>
            <w:tc>
              <w:tcPr>
                <w:tcW w:w="2874" w:type="pct"/>
                <w:shd w:val="clear" w:color="auto" w:fill="FFFFFF"/>
                <w:tcMar>
                  <w:top w:w="15" w:type="dxa"/>
                  <w:left w:w="0" w:type="dxa"/>
                  <w:bottom w:w="0" w:type="dxa"/>
                  <w:right w:w="15" w:type="dxa"/>
                </w:tcMar>
                <w:vAlign w:val="bottom"/>
              </w:tcPr>
              <w:p w14:paraId="740360B4" w14:textId="77777777" w:rsidR="00F14B46" w:rsidRDefault="00F14B46" w:rsidP="001C0487">
                <w:pPr>
                  <w:keepNext/>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0A1CDC1" w14:textId="77777777" w:rsidR="00F14B46" w:rsidRDefault="00F14B46" w:rsidP="001C0487">
                <w:pPr>
                  <w:jc w:val="center"/>
                  <w:rPr>
                    <w:rFonts w:ascii="Calibri"/>
                    <w:color w:val="000000"/>
                  </w:rPr>
                </w:pPr>
                <w:r>
                  <w:rPr>
                    <w:rFonts w:ascii="Calibri"/>
                    <w:color w:val="000000"/>
                  </w:rPr>
                  <w:t>Income Before Income Taxes</w:t>
                </w:r>
              </w:p>
            </w:tc>
            <w:tc>
              <w:tcPr>
                <w:tcW w:w="50" w:type="pct"/>
                <w:shd w:val="clear" w:color="auto" w:fill="FFFFFF"/>
                <w:noWrap/>
                <w:tcMar>
                  <w:top w:w="15" w:type="dxa"/>
                  <w:left w:w="0" w:type="dxa"/>
                  <w:bottom w:w="0" w:type="dxa"/>
                  <w:right w:w="15" w:type="dxa"/>
                </w:tcMar>
                <w:vAlign w:val="bottom"/>
              </w:tcPr>
              <w:p w14:paraId="1A5F4267" w14:textId="77777777" w:rsidR="00F14B46" w:rsidRDefault="00F14B46" w:rsidP="001C0487">
                <w:pPr>
                  <w:rPr>
                    <w:rFonts w:ascii="Calibri"/>
                    <w:color w:val="000000"/>
                  </w:rPr>
                </w:pPr>
                <w:r>
                  <w:rPr>
                    <w:rFonts w:ascii="Calibri"/>
                    <w:color w:val="000000"/>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5383225D" w14:textId="77777777" w:rsidR="00F14B46" w:rsidRDefault="00F14B46" w:rsidP="001C0487">
                <w:pPr>
                  <w:jc w:val="center"/>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8CA256C" w14:textId="77777777" w:rsidR="00F14B46" w:rsidRDefault="00F14B46" w:rsidP="001C0487">
                <w:pPr>
                  <w:jc w:val="center"/>
                  <w:rPr>
                    <w:rFonts w:ascii="Calibri"/>
                    <w:color w:val="000000"/>
                  </w:rPr>
                </w:pPr>
                <w:r>
                  <w:rPr>
                    <w:rFonts w:ascii="Calibri"/>
                    <w:color w:val="000000"/>
                  </w:rPr>
                  <w:t>Provision for Income Taxes</w:t>
                </w:r>
              </w:p>
            </w:tc>
            <w:tc>
              <w:tcPr>
                <w:tcW w:w="50" w:type="pct"/>
                <w:shd w:val="clear" w:color="auto" w:fill="FFFFFF"/>
                <w:noWrap/>
                <w:tcMar>
                  <w:top w:w="15" w:type="dxa"/>
                  <w:left w:w="0" w:type="dxa"/>
                  <w:bottom w:w="0" w:type="dxa"/>
                  <w:right w:w="15" w:type="dxa"/>
                </w:tcMar>
                <w:vAlign w:val="bottom"/>
              </w:tcPr>
              <w:p w14:paraId="2E0A7FB2" w14:textId="77777777" w:rsidR="00F14B46" w:rsidRDefault="00F14B46" w:rsidP="001C0487">
                <w:pPr>
                  <w:rPr>
                    <w:rFonts w:ascii="Calibri"/>
                    <w:color w:val="000000"/>
                  </w:rPr>
                </w:pPr>
                <w:r>
                  <w:rPr>
                    <w:rFonts w:ascii="Calibri"/>
                    <w:color w:val="000000"/>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63D192DF" w14:textId="77777777" w:rsidR="00F14B46" w:rsidRDefault="00F14B46" w:rsidP="001C0487">
                <w:pPr>
                  <w:jc w:val="center"/>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9FC7297" w14:textId="77777777" w:rsidR="00F14B46" w:rsidRDefault="00F14B46" w:rsidP="001C0487">
                <w:pPr>
                  <w:jc w:val="center"/>
                  <w:rPr>
                    <w:rFonts w:ascii="Calibri"/>
                    <w:color w:val="000000"/>
                  </w:rPr>
                </w:pPr>
                <w:r>
                  <w:rPr>
                    <w:rFonts w:ascii="Calibri"/>
                    <w:color w:val="000000"/>
                  </w:rPr>
                  <w:t>Net Income</w:t>
                </w:r>
              </w:p>
            </w:tc>
            <w:tc>
              <w:tcPr>
                <w:tcW w:w="50" w:type="pct"/>
                <w:shd w:val="clear" w:color="auto" w:fill="FFFFFF"/>
                <w:noWrap/>
                <w:tcMar>
                  <w:top w:w="15" w:type="dxa"/>
                  <w:left w:w="0" w:type="dxa"/>
                  <w:bottom w:w="0" w:type="dxa"/>
                  <w:right w:w="15" w:type="dxa"/>
                </w:tcMar>
                <w:vAlign w:val="bottom"/>
              </w:tcPr>
              <w:p w14:paraId="64C4F52D" w14:textId="77777777" w:rsidR="00F14B46" w:rsidRDefault="00F14B46" w:rsidP="001C0487">
                <w:pPr>
                  <w:rPr>
                    <w:rFonts w:ascii="Calibri"/>
                    <w:color w:val="000000"/>
                  </w:rPr>
                </w:pPr>
                <w:r>
                  <w:rPr>
                    <w:rFonts w:ascii="Calibri"/>
                    <w:color w:val="000000"/>
                  </w:rPr>
                  <w:t xml:space="preserve"> </w:t>
                </w:r>
              </w:p>
            </w:tc>
            <w:tc>
              <w:tcPr>
                <w:tcW w:w="69" w:type="pct"/>
                <w:shd w:val="clear" w:color="auto" w:fill="FFFFFF"/>
                <w:tcMar>
                  <w:top w:w="15" w:type="dxa"/>
                  <w:left w:w="0" w:type="dxa"/>
                  <w:bottom w:w="0" w:type="dxa"/>
                  <w:right w:w="15" w:type="dxa"/>
                </w:tcMar>
                <w:vAlign w:val="bottom"/>
              </w:tcPr>
              <w:p w14:paraId="72FEB5F5" w14:textId="77777777" w:rsidR="00F14B46" w:rsidRDefault="00F14B46" w:rsidP="001C0487">
                <w:pPr>
                  <w:rPr>
                    <w:rFonts w:ascii="Calibri"/>
                    <w:color w:val="000000"/>
                  </w:rPr>
                </w:pPr>
                <w:r>
                  <w:rPr>
                    <w:rFonts w:ascii="Calibri"/>
                    <w:color w:val="000000"/>
                  </w:rPr>
                  <w:t xml:space="preserve"> </w:t>
                </w:r>
              </w:p>
            </w:tc>
          </w:tr>
          <w:tr w:rsidR="00F14B46" w14:paraId="11557A16" w14:textId="77777777">
            <w:trPr>
              <w:cantSplit/>
            </w:trPr>
            <w:tc>
              <w:tcPr>
                <w:tcW w:w="2874" w:type="pct"/>
                <w:shd w:val="clear" w:color="auto" w:fill="FFFFFF"/>
                <w:tcMar>
                  <w:top w:w="15" w:type="dxa"/>
                  <w:left w:w="0" w:type="dxa"/>
                  <w:bottom w:w="0" w:type="dxa"/>
                  <w:right w:w="15" w:type="dxa"/>
                </w:tcMar>
                <w:vAlign w:val="bottom"/>
              </w:tcPr>
              <w:p w14:paraId="3B4219BA" w14:textId="77777777" w:rsidR="00F14B46" w:rsidRDefault="00F14B46" w:rsidP="001C0487">
                <w:pPr>
                  <w:keepNext/>
                  <w:rPr>
                    <w:rFonts w:ascii="Calibri"/>
                    <w:color w:val="000000"/>
                  </w:rPr>
                </w:pPr>
                <w:r>
                  <w:rPr>
                    <w:rFonts w:ascii="Calibri"/>
                    <w:color w:val="000000"/>
                  </w:rPr>
                  <w:t>GAAP basis</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1E1C723"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FFFFFF"/>
                <w:noWrap/>
                <w:tcMar>
                  <w:top w:w="15" w:type="dxa"/>
                  <w:left w:w="0" w:type="dxa"/>
                  <w:bottom w:w="0" w:type="dxa"/>
                  <w:right w:w="15" w:type="dxa"/>
                </w:tcMar>
                <w:vAlign w:val="bottom"/>
              </w:tcPr>
              <w:p w14:paraId="7DA1905C" w14:textId="77777777" w:rsidR="00F14B46" w:rsidRDefault="00F14B46">
                <w:pPr>
                  <w:jc w:val="right"/>
                  <w:rPr>
                    <w:color w:val="000000"/>
                    <w:sz w:val="20"/>
                  </w:rPr>
                </w:pPr>
                <w:r>
                  <w:rPr>
                    <w:color w:val="000000"/>
                    <w:sz w:val="20"/>
                  </w:rPr>
                  <w:t>1,059,686</w:t>
                </w:r>
              </w:p>
            </w:tc>
            <w:tc>
              <w:tcPr>
                <w:tcW w:w="50" w:type="pct"/>
                <w:shd w:val="clear" w:color="auto" w:fill="FFFFFF"/>
                <w:noWrap/>
                <w:tcMar>
                  <w:top w:w="15" w:type="dxa"/>
                  <w:left w:w="0" w:type="dxa"/>
                  <w:bottom w:w="0" w:type="dxa"/>
                  <w:right w:w="15" w:type="dxa"/>
                </w:tcMar>
                <w:vAlign w:val="bottom"/>
              </w:tcPr>
              <w:p w14:paraId="3A2C02FF"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457BC7EE"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8B1C064"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FFFFFF"/>
                <w:noWrap/>
                <w:tcMar>
                  <w:top w:w="15" w:type="dxa"/>
                  <w:left w:w="0" w:type="dxa"/>
                  <w:bottom w:w="0" w:type="dxa"/>
                  <w:right w:w="15" w:type="dxa"/>
                </w:tcMar>
                <w:vAlign w:val="bottom"/>
              </w:tcPr>
              <w:p w14:paraId="162E8862" w14:textId="77777777" w:rsidR="00F14B46" w:rsidRDefault="00F14B46">
                <w:pPr>
                  <w:jc w:val="right"/>
                  <w:rPr>
                    <w:color w:val="000000"/>
                    <w:sz w:val="20"/>
                  </w:rPr>
                </w:pPr>
                <w:r>
                  <w:rPr>
                    <w:color w:val="000000"/>
                    <w:sz w:val="20"/>
                  </w:rPr>
                  <w:t>37,781</w:t>
                </w:r>
              </w:p>
            </w:tc>
            <w:tc>
              <w:tcPr>
                <w:tcW w:w="50" w:type="pct"/>
                <w:shd w:val="clear" w:color="auto" w:fill="FFFFFF"/>
                <w:noWrap/>
                <w:tcMar>
                  <w:top w:w="15" w:type="dxa"/>
                  <w:left w:w="0" w:type="dxa"/>
                  <w:bottom w:w="0" w:type="dxa"/>
                  <w:right w:w="15" w:type="dxa"/>
                </w:tcMar>
                <w:vAlign w:val="bottom"/>
              </w:tcPr>
              <w:p w14:paraId="1232D918"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43BF17C1"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4FF1D22"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FFFFFF"/>
                <w:noWrap/>
                <w:tcMar>
                  <w:top w:w="15" w:type="dxa"/>
                  <w:left w:w="0" w:type="dxa"/>
                  <w:bottom w:w="0" w:type="dxa"/>
                  <w:right w:w="15" w:type="dxa"/>
                </w:tcMar>
                <w:vAlign w:val="bottom"/>
              </w:tcPr>
              <w:p w14:paraId="1A0D68E9" w14:textId="77777777" w:rsidR="00F14B46" w:rsidRDefault="00F14B46">
                <w:pPr>
                  <w:jc w:val="right"/>
                  <w:rPr>
                    <w:color w:val="000000"/>
                    <w:sz w:val="20"/>
                  </w:rPr>
                </w:pPr>
                <w:r>
                  <w:rPr>
                    <w:color w:val="000000"/>
                    <w:sz w:val="20"/>
                  </w:rPr>
                  <w:t>1,021,905</w:t>
                </w:r>
              </w:p>
            </w:tc>
            <w:tc>
              <w:tcPr>
                <w:tcW w:w="50" w:type="pct"/>
                <w:shd w:val="clear" w:color="auto" w:fill="FFFFFF"/>
                <w:noWrap/>
                <w:tcMar>
                  <w:top w:w="15" w:type="dxa"/>
                  <w:left w:w="0" w:type="dxa"/>
                  <w:bottom w:w="0" w:type="dxa"/>
                  <w:right w:w="15" w:type="dxa"/>
                </w:tcMar>
                <w:vAlign w:val="bottom"/>
              </w:tcPr>
              <w:p w14:paraId="0F7E7808"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01CF8607" w14:textId="77777777" w:rsidR="00F14B46" w:rsidRDefault="00F14B46" w:rsidP="001C0487">
                <w:pPr>
                  <w:rPr>
                    <w:rFonts w:ascii="Calibri"/>
                    <w:color w:val="000000"/>
                  </w:rPr>
                </w:pPr>
                <w:r>
                  <w:rPr>
                    <w:rFonts w:ascii="Calibri"/>
                    <w:color w:val="000000"/>
                  </w:rPr>
                  <w:t xml:space="preserve"> </w:t>
                </w:r>
              </w:p>
            </w:tc>
          </w:tr>
          <w:tr w:rsidR="00F14B46" w14:paraId="2E5082CF" w14:textId="77777777">
            <w:trPr>
              <w:cantSplit/>
            </w:trPr>
            <w:tc>
              <w:tcPr>
                <w:tcW w:w="2874" w:type="pct"/>
                <w:shd w:val="clear" w:color="auto" w:fill="CFF0FC"/>
                <w:tcMar>
                  <w:top w:w="15" w:type="dxa"/>
                  <w:left w:w="0" w:type="dxa"/>
                  <w:bottom w:w="0" w:type="dxa"/>
                  <w:right w:w="15" w:type="dxa"/>
                </w:tcMar>
                <w:vAlign w:val="bottom"/>
              </w:tcPr>
              <w:p w14:paraId="173952AC" w14:textId="77777777" w:rsidR="00F14B46" w:rsidRDefault="00F14B46" w:rsidP="001C0487">
                <w:pPr>
                  <w:keepNext/>
                  <w:rPr>
                    <w:color w:val="000000"/>
                    <w:sz w:val="20"/>
                  </w:rPr>
                </w:pPr>
                <w:r>
                  <w:rPr>
                    <w:color w:val="000000"/>
                    <w:sz w:val="20"/>
                  </w:rPr>
                  <w:t xml:space="preserve"> ADD: Charitable Foundation Contribution</w:t>
                </w:r>
              </w:p>
            </w:tc>
            <w:tc>
              <w:tcPr>
                <w:tcW w:w="50" w:type="pct"/>
                <w:shd w:val="clear" w:color="auto" w:fill="CFF0FC"/>
                <w:noWrap/>
                <w:tcMar>
                  <w:top w:w="15" w:type="dxa"/>
                  <w:left w:w="0" w:type="dxa"/>
                  <w:bottom w:w="0" w:type="dxa"/>
                  <w:right w:w="15" w:type="dxa"/>
                </w:tcMar>
                <w:vAlign w:val="bottom"/>
              </w:tcPr>
              <w:p w14:paraId="0D254F34" w14:textId="77777777" w:rsidR="00F14B46" w:rsidRDefault="00F14B46" w:rsidP="001C0487">
                <w:pPr>
                  <w:rPr>
                    <w:color w:val="000000"/>
                    <w:sz w:val="20"/>
                  </w:rPr>
                </w:pPr>
                <w:r>
                  <w:rPr>
                    <w:color w:val="000000"/>
                    <w:sz w:val="20"/>
                  </w:rPr>
                  <w:t xml:space="preserve"> </w:t>
                </w:r>
              </w:p>
            </w:tc>
            <w:tc>
              <w:tcPr>
                <w:tcW w:w="538" w:type="pct"/>
                <w:shd w:val="clear" w:color="auto" w:fill="CFF0FC"/>
                <w:noWrap/>
                <w:tcMar>
                  <w:top w:w="15" w:type="dxa"/>
                  <w:left w:w="0" w:type="dxa"/>
                  <w:bottom w:w="0" w:type="dxa"/>
                  <w:right w:w="15" w:type="dxa"/>
                </w:tcMar>
                <w:vAlign w:val="bottom"/>
              </w:tcPr>
              <w:p w14:paraId="6B5C32A3" w14:textId="77777777" w:rsidR="00F14B46" w:rsidRDefault="00F14B46" w:rsidP="001C0487">
                <w:pPr>
                  <w:jc w:val="right"/>
                  <w:rPr>
                    <w:color w:val="000000"/>
                    <w:sz w:val="20"/>
                  </w:rPr>
                </w:pPr>
                <w:r>
                  <w:rPr>
                    <w:color w:val="000000"/>
                    <w:sz w:val="20"/>
                  </w:rPr>
                  <w:t>2,881,500</w:t>
                </w:r>
              </w:p>
            </w:tc>
            <w:tc>
              <w:tcPr>
                <w:tcW w:w="50" w:type="pct"/>
                <w:shd w:val="clear" w:color="auto" w:fill="CFF0FC"/>
                <w:noWrap/>
                <w:tcMar>
                  <w:top w:w="15" w:type="dxa"/>
                  <w:left w:w="0" w:type="dxa"/>
                  <w:bottom w:w="0" w:type="dxa"/>
                  <w:right w:w="15" w:type="dxa"/>
                </w:tcMar>
                <w:vAlign w:val="bottom"/>
              </w:tcPr>
              <w:p w14:paraId="4B0F929F" w14:textId="77777777" w:rsidR="00F14B46" w:rsidRDefault="00F14B46" w:rsidP="001C0487">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2F78BDE5" w14:textId="77777777" w:rsidR="00F14B46" w:rsidRDefault="00F14B46" w:rsidP="001C0487">
                <w:pPr>
                  <w:jc w:val="right"/>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4619D5C1" w14:textId="77777777" w:rsidR="00F14B46" w:rsidRDefault="00F14B46" w:rsidP="001C0487">
                <w:pPr>
                  <w:rPr>
                    <w:color w:val="000000"/>
                    <w:sz w:val="20"/>
                  </w:rPr>
                </w:pPr>
                <w:r>
                  <w:rPr>
                    <w:color w:val="000000"/>
                    <w:sz w:val="20"/>
                  </w:rPr>
                  <w:t xml:space="preserve"> </w:t>
                </w:r>
              </w:p>
            </w:tc>
            <w:tc>
              <w:tcPr>
                <w:tcW w:w="538" w:type="pct"/>
                <w:shd w:val="clear" w:color="auto" w:fill="CFF0FC"/>
                <w:noWrap/>
                <w:tcMar>
                  <w:top w:w="15" w:type="dxa"/>
                  <w:left w:w="0" w:type="dxa"/>
                  <w:bottom w:w="0" w:type="dxa"/>
                  <w:right w:w="15" w:type="dxa"/>
                </w:tcMar>
                <w:vAlign w:val="bottom"/>
              </w:tcPr>
              <w:p w14:paraId="682A259A" w14:textId="77777777" w:rsidR="00F14B46" w:rsidRDefault="00F14B46" w:rsidP="001C0487">
                <w:pPr>
                  <w:jc w:val="right"/>
                  <w:rPr>
                    <w:color w:val="000000"/>
                    <w:sz w:val="20"/>
                  </w:rPr>
                </w:pPr>
                <w:r>
                  <w:rPr>
                    <w:color w:val="000000"/>
                    <w:sz w:val="20"/>
                  </w:rPr>
                  <w:t>809,990</w:t>
                </w:r>
              </w:p>
            </w:tc>
            <w:tc>
              <w:tcPr>
                <w:tcW w:w="50" w:type="pct"/>
                <w:shd w:val="clear" w:color="auto" w:fill="CFF0FC"/>
                <w:noWrap/>
                <w:tcMar>
                  <w:top w:w="15" w:type="dxa"/>
                  <w:left w:w="0" w:type="dxa"/>
                  <w:bottom w:w="0" w:type="dxa"/>
                  <w:right w:w="15" w:type="dxa"/>
                </w:tcMar>
                <w:vAlign w:val="bottom"/>
              </w:tcPr>
              <w:p w14:paraId="33F172A4" w14:textId="77777777" w:rsidR="00F14B46" w:rsidRDefault="00F14B46" w:rsidP="001C0487">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50C7D46B" w14:textId="77777777" w:rsidR="00F14B46" w:rsidRDefault="00F14B46" w:rsidP="001C0487">
                <w:pPr>
                  <w:jc w:val="right"/>
                  <w:rPr>
                    <w:color w:val="000000"/>
                    <w:sz w:val="20"/>
                  </w:rPr>
                </w:pPr>
                <w:r>
                  <w:rPr>
                    <w:color w:val="000000"/>
                    <w:sz w:val="20"/>
                  </w:rPr>
                  <w:t xml:space="preserve"> </w:t>
                </w:r>
              </w:p>
            </w:tc>
            <w:tc>
              <w:tcPr>
                <w:tcW w:w="50" w:type="pct"/>
                <w:shd w:val="clear" w:color="auto" w:fill="CFF0FC"/>
                <w:noWrap/>
                <w:tcMar>
                  <w:top w:w="15" w:type="dxa"/>
                  <w:left w:w="0" w:type="dxa"/>
                  <w:bottom w:w="0" w:type="dxa"/>
                  <w:right w:w="15" w:type="dxa"/>
                </w:tcMar>
                <w:vAlign w:val="bottom"/>
              </w:tcPr>
              <w:p w14:paraId="1D2CFAB8" w14:textId="77777777" w:rsidR="00F14B46" w:rsidRDefault="00F14B46" w:rsidP="001C0487">
                <w:pPr>
                  <w:rPr>
                    <w:color w:val="000000"/>
                    <w:sz w:val="20"/>
                  </w:rPr>
                </w:pPr>
                <w:r>
                  <w:rPr>
                    <w:color w:val="000000"/>
                    <w:sz w:val="20"/>
                  </w:rPr>
                  <w:t xml:space="preserve"> </w:t>
                </w:r>
              </w:p>
            </w:tc>
            <w:tc>
              <w:tcPr>
                <w:tcW w:w="538" w:type="pct"/>
                <w:shd w:val="clear" w:color="auto" w:fill="CFF0FC"/>
                <w:noWrap/>
                <w:tcMar>
                  <w:top w:w="15" w:type="dxa"/>
                  <w:left w:w="0" w:type="dxa"/>
                  <w:bottom w:w="0" w:type="dxa"/>
                  <w:right w:w="15" w:type="dxa"/>
                </w:tcMar>
                <w:vAlign w:val="bottom"/>
              </w:tcPr>
              <w:p w14:paraId="619B2342" w14:textId="77777777" w:rsidR="00F14B46" w:rsidRDefault="00F14B46" w:rsidP="001C0487">
                <w:pPr>
                  <w:jc w:val="right"/>
                  <w:rPr>
                    <w:color w:val="000000"/>
                    <w:sz w:val="20"/>
                  </w:rPr>
                </w:pPr>
                <w:r>
                  <w:rPr>
                    <w:color w:val="000000"/>
                    <w:sz w:val="20"/>
                  </w:rPr>
                  <w:t>2,071,510</w:t>
                </w:r>
              </w:p>
            </w:tc>
            <w:tc>
              <w:tcPr>
                <w:tcW w:w="50" w:type="pct"/>
                <w:shd w:val="clear" w:color="auto" w:fill="CFF0FC"/>
                <w:noWrap/>
                <w:tcMar>
                  <w:top w:w="15" w:type="dxa"/>
                  <w:left w:w="0" w:type="dxa"/>
                  <w:bottom w:w="0" w:type="dxa"/>
                  <w:right w:w="15" w:type="dxa"/>
                </w:tcMar>
                <w:vAlign w:val="bottom"/>
              </w:tcPr>
              <w:p w14:paraId="17A48095"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1CE5934C" w14:textId="77777777" w:rsidR="00F14B46" w:rsidRDefault="00F14B46" w:rsidP="001C0487">
                <w:pPr>
                  <w:rPr>
                    <w:rFonts w:ascii="Calibri"/>
                    <w:color w:val="000000"/>
                  </w:rPr>
                </w:pPr>
                <w:r>
                  <w:rPr>
                    <w:rFonts w:ascii="Calibri"/>
                    <w:color w:val="000000"/>
                  </w:rPr>
                  <w:t xml:space="preserve"> </w:t>
                </w:r>
              </w:p>
            </w:tc>
          </w:tr>
          <w:tr w:rsidR="00F14B46" w14:paraId="440D73DD" w14:textId="77777777">
            <w:trPr>
              <w:cantSplit/>
            </w:trPr>
            <w:tc>
              <w:tcPr>
                <w:tcW w:w="2874" w:type="pct"/>
                <w:shd w:val="clear" w:color="auto" w:fill="FFFFFF"/>
                <w:tcMar>
                  <w:top w:w="15" w:type="dxa"/>
                  <w:left w:w="0" w:type="dxa"/>
                  <w:bottom w:w="0" w:type="dxa"/>
                  <w:right w:w="15" w:type="dxa"/>
                </w:tcMar>
                <w:vAlign w:val="bottom"/>
              </w:tcPr>
              <w:p w14:paraId="61B6FB84" w14:textId="77777777" w:rsidR="00F14B46" w:rsidRDefault="00F14B46" w:rsidP="001C0487">
                <w:pPr>
                  <w:keepNext/>
                  <w:rPr>
                    <w:rFonts w:ascii="Calibri"/>
                    <w:color w:val="000000"/>
                  </w:rPr>
                </w:pPr>
                <w:r>
                  <w:rPr>
                    <w:rFonts w:ascii="Calibri"/>
                    <w:color w:val="000000"/>
                  </w:rPr>
                  <w:t>Add: merger and acquisition related expenses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3DBD942"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FFFFFF"/>
                <w:noWrap/>
                <w:tcMar>
                  <w:top w:w="15" w:type="dxa"/>
                  <w:left w:w="0" w:type="dxa"/>
                  <w:bottom w:w="0" w:type="dxa"/>
                  <w:right w:w="15" w:type="dxa"/>
                </w:tcMar>
                <w:vAlign w:val="bottom"/>
              </w:tcPr>
              <w:p w14:paraId="642A9ECD" w14:textId="77777777" w:rsidR="00F14B46" w:rsidRDefault="00F14B46" w:rsidP="001C0487">
                <w:pPr>
                  <w:jc w:val="right"/>
                  <w:rPr>
                    <w:color w:val="000000"/>
                    <w:sz w:val="20"/>
                  </w:rPr>
                </w:pPr>
                <w:r>
                  <w:rPr>
                    <w:color w:val="000000"/>
                    <w:sz w:val="20"/>
                  </w:rPr>
                  <w:t>78,606</w:t>
                </w:r>
              </w:p>
            </w:tc>
            <w:tc>
              <w:tcPr>
                <w:tcW w:w="50" w:type="pct"/>
                <w:shd w:val="clear" w:color="auto" w:fill="FFFFFF"/>
                <w:noWrap/>
                <w:tcMar>
                  <w:top w:w="15" w:type="dxa"/>
                  <w:left w:w="0" w:type="dxa"/>
                  <w:bottom w:w="0" w:type="dxa"/>
                  <w:right w:w="15" w:type="dxa"/>
                </w:tcMar>
                <w:vAlign w:val="bottom"/>
              </w:tcPr>
              <w:p w14:paraId="521B18E8"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74974E7A" w14:textId="77777777" w:rsidR="00F14B46" w:rsidRDefault="00F14B46" w:rsidP="001C0487">
                <w:pPr>
                  <w:jc w:val="right"/>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BAA821F"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FFFFFF"/>
                <w:noWrap/>
                <w:tcMar>
                  <w:top w:w="15" w:type="dxa"/>
                  <w:left w:w="0" w:type="dxa"/>
                  <w:bottom w:w="0" w:type="dxa"/>
                  <w:right w:w="15" w:type="dxa"/>
                </w:tcMar>
                <w:vAlign w:val="bottom"/>
              </w:tcPr>
              <w:p w14:paraId="074EDD5F" w14:textId="77777777" w:rsidR="00F14B46" w:rsidRDefault="00F14B46" w:rsidP="001C0487">
                <w:pPr>
                  <w:jc w:val="right"/>
                  <w:rPr>
                    <w:color w:val="000000"/>
                    <w:sz w:val="20"/>
                  </w:rPr>
                </w:pPr>
                <w:r>
                  <w:rPr>
                    <w:color w:val="000000"/>
                    <w:sz w:val="20"/>
                  </w:rPr>
                  <w:t>—</w:t>
                </w:r>
              </w:p>
            </w:tc>
            <w:tc>
              <w:tcPr>
                <w:tcW w:w="50" w:type="pct"/>
                <w:shd w:val="clear" w:color="auto" w:fill="FFFFFF"/>
                <w:noWrap/>
                <w:tcMar>
                  <w:top w:w="15" w:type="dxa"/>
                  <w:left w:w="0" w:type="dxa"/>
                  <w:bottom w:w="0" w:type="dxa"/>
                  <w:right w:w="15" w:type="dxa"/>
                </w:tcMar>
                <w:vAlign w:val="bottom"/>
              </w:tcPr>
              <w:p w14:paraId="778F2D98"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4AD5273D" w14:textId="77777777" w:rsidR="00F14B46" w:rsidRDefault="00F14B46" w:rsidP="001C0487">
                <w:pPr>
                  <w:jc w:val="right"/>
                  <w:rPr>
                    <w:color w:val="000000"/>
                    <w:sz w:val="20"/>
                  </w:rPr>
                </w:pPr>
                <w:r>
                  <w:rPr>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E4F3549"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FFFFFF"/>
                <w:noWrap/>
                <w:tcMar>
                  <w:top w:w="15" w:type="dxa"/>
                  <w:left w:w="0" w:type="dxa"/>
                  <w:bottom w:w="0" w:type="dxa"/>
                  <w:right w:w="15" w:type="dxa"/>
                </w:tcMar>
                <w:vAlign w:val="bottom"/>
              </w:tcPr>
              <w:p w14:paraId="6FBC2176" w14:textId="77777777" w:rsidR="00F14B46" w:rsidRDefault="00F14B46" w:rsidP="001C0487">
                <w:pPr>
                  <w:jc w:val="right"/>
                  <w:rPr>
                    <w:color w:val="000000"/>
                    <w:sz w:val="20"/>
                  </w:rPr>
                </w:pPr>
                <w:r>
                  <w:rPr>
                    <w:color w:val="000000"/>
                    <w:sz w:val="20"/>
                  </w:rPr>
                  <w:t>78,606</w:t>
                </w:r>
              </w:p>
            </w:tc>
            <w:tc>
              <w:tcPr>
                <w:tcW w:w="50" w:type="pct"/>
                <w:shd w:val="clear" w:color="auto" w:fill="FFFFFF"/>
                <w:noWrap/>
                <w:tcMar>
                  <w:top w:w="15" w:type="dxa"/>
                  <w:left w:w="0" w:type="dxa"/>
                  <w:bottom w:w="0" w:type="dxa"/>
                  <w:right w:w="15" w:type="dxa"/>
                </w:tcMar>
                <w:vAlign w:val="bottom"/>
              </w:tcPr>
              <w:p w14:paraId="1F5C9418"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3DAA29AC" w14:textId="77777777" w:rsidR="00F14B46" w:rsidRDefault="00F14B46" w:rsidP="001C0487">
                <w:pPr>
                  <w:rPr>
                    <w:rFonts w:ascii="Calibri"/>
                    <w:color w:val="000000"/>
                  </w:rPr>
                </w:pPr>
                <w:r>
                  <w:rPr>
                    <w:rFonts w:ascii="Calibri"/>
                    <w:color w:val="000000"/>
                  </w:rPr>
                  <w:t xml:space="preserve"> </w:t>
                </w:r>
              </w:p>
            </w:tc>
          </w:tr>
          <w:tr w:rsidR="00F14B46" w14:paraId="66A43E07" w14:textId="77777777">
            <w:trPr>
              <w:cantSplit/>
            </w:trPr>
            <w:tc>
              <w:tcPr>
                <w:tcW w:w="2874" w:type="pct"/>
                <w:shd w:val="clear" w:color="auto" w:fill="CFF0FC"/>
                <w:tcMar>
                  <w:top w:w="15" w:type="dxa"/>
                  <w:left w:w="0" w:type="dxa"/>
                  <w:bottom w:w="0" w:type="dxa"/>
                  <w:right w:w="15" w:type="dxa"/>
                </w:tcMar>
                <w:vAlign w:val="bottom"/>
              </w:tcPr>
              <w:p w14:paraId="5322D0F5" w14:textId="77777777" w:rsidR="00F14B46" w:rsidRDefault="00F14B46" w:rsidP="001C0487">
                <w:pPr>
                  <w:keepNext/>
                  <w:rPr>
                    <w:color w:val="000000"/>
                    <w:sz w:val="20"/>
                  </w:rPr>
                </w:pPr>
                <w:r>
                  <w:rPr>
                    <w:color w:val="000000"/>
                    <w:sz w:val="20"/>
                  </w:rPr>
                  <w:t xml:space="preserve"> Non-GAAP basis</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9B72184"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18DAEFB" w14:textId="77777777" w:rsidR="00F14B46" w:rsidRDefault="00F14B46">
                <w:pPr>
                  <w:jc w:val="right"/>
                  <w:rPr>
                    <w:color w:val="000000"/>
                    <w:sz w:val="20"/>
                  </w:rPr>
                </w:pPr>
                <w:r>
                  <w:rPr>
                    <w:color w:val="000000"/>
                    <w:sz w:val="20"/>
                  </w:rPr>
                  <w:t>4,019,792</w:t>
                </w:r>
              </w:p>
            </w:tc>
            <w:tc>
              <w:tcPr>
                <w:tcW w:w="50" w:type="pct"/>
                <w:shd w:val="clear" w:color="auto" w:fill="CFF0FC"/>
                <w:noWrap/>
                <w:tcMar>
                  <w:top w:w="15" w:type="dxa"/>
                  <w:left w:w="0" w:type="dxa"/>
                  <w:bottom w:w="0" w:type="dxa"/>
                  <w:right w:w="15" w:type="dxa"/>
                </w:tcMar>
                <w:vAlign w:val="bottom"/>
              </w:tcPr>
              <w:p w14:paraId="337E878F" w14:textId="77777777" w:rsidR="00F14B46" w:rsidRDefault="00F14B46">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18235185"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DFB0EC2"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371E37C" w14:textId="77777777" w:rsidR="00F14B46" w:rsidRDefault="00F14B46">
                <w:pPr>
                  <w:jc w:val="right"/>
                  <w:rPr>
                    <w:color w:val="000000"/>
                    <w:sz w:val="20"/>
                  </w:rPr>
                </w:pPr>
                <w:r>
                  <w:rPr>
                    <w:color w:val="000000"/>
                    <w:sz w:val="20"/>
                  </w:rPr>
                  <w:t>847,771</w:t>
                </w:r>
              </w:p>
            </w:tc>
            <w:tc>
              <w:tcPr>
                <w:tcW w:w="50" w:type="pct"/>
                <w:shd w:val="clear" w:color="auto" w:fill="CFF0FC"/>
                <w:noWrap/>
                <w:tcMar>
                  <w:top w:w="15" w:type="dxa"/>
                  <w:left w:w="0" w:type="dxa"/>
                  <w:bottom w:w="0" w:type="dxa"/>
                  <w:right w:w="15" w:type="dxa"/>
                </w:tcMar>
                <w:vAlign w:val="bottom"/>
              </w:tcPr>
              <w:p w14:paraId="0330D452" w14:textId="77777777" w:rsidR="00F14B46" w:rsidRDefault="00F14B46">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034DF581"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0D013AE"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98FE56E" w14:textId="77777777" w:rsidR="00F14B46" w:rsidRDefault="00F14B46">
                <w:pPr>
                  <w:jc w:val="right"/>
                  <w:rPr>
                    <w:color w:val="000000"/>
                    <w:sz w:val="20"/>
                  </w:rPr>
                </w:pPr>
                <w:r>
                  <w:rPr>
                    <w:color w:val="000000"/>
                    <w:sz w:val="20"/>
                  </w:rPr>
                  <w:t>3,172,021</w:t>
                </w:r>
              </w:p>
            </w:tc>
            <w:tc>
              <w:tcPr>
                <w:tcW w:w="50" w:type="pct"/>
                <w:shd w:val="clear" w:color="auto" w:fill="CFF0FC"/>
                <w:noWrap/>
                <w:tcMar>
                  <w:top w:w="15" w:type="dxa"/>
                  <w:left w:w="0" w:type="dxa"/>
                  <w:bottom w:w="0" w:type="dxa"/>
                  <w:right w:w="15" w:type="dxa"/>
                </w:tcMar>
                <w:vAlign w:val="bottom"/>
              </w:tcPr>
              <w:p w14:paraId="10617C63"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06EDAA20" w14:textId="77777777" w:rsidR="00F14B46" w:rsidRDefault="00F14B46" w:rsidP="001C0487">
                <w:pPr>
                  <w:rPr>
                    <w:rFonts w:ascii="Calibri"/>
                    <w:color w:val="000000"/>
                  </w:rPr>
                </w:pPr>
                <w:r>
                  <w:rPr>
                    <w:rFonts w:ascii="Calibri"/>
                    <w:color w:val="000000"/>
                  </w:rPr>
                  <w:t xml:space="preserve"> </w:t>
                </w:r>
              </w:p>
            </w:tc>
          </w:tr>
          <w:tr w:rsidR="00F14B46" w14:paraId="0C8562B5" w14:textId="77777777">
            <w:trPr>
              <w:cantSplit/>
            </w:trPr>
            <w:tc>
              <w:tcPr>
                <w:tcW w:w="2874" w:type="pct"/>
                <w:shd w:val="clear" w:color="auto" w:fill="FFFFFF"/>
                <w:tcMar>
                  <w:top w:w="15" w:type="dxa"/>
                  <w:left w:w="0" w:type="dxa"/>
                  <w:bottom w:w="0" w:type="dxa"/>
                  <w:right w:w="15" w:type="dxa"/>
                </w:tcMar>
                <w:vAlign w:val="bottom"/>
              </w:tcPr>
              <w:p w14:paraId="45EC796B" w14:textId="77777777" w:rsidR="00F14B46" w:rsidRDefault="00F14B46" w:rsidP="001C0487">
                <w:pPr>
                  <w:keepNext/>
                  <w:rPr>
                    <w:rFonts w:ascii="Calibri"/>
                    <w:color w:val="000000"/>
                  </w:rPr>
                </w:pPr>
                <w:r>
                  <w:rPr>
                    <w:rFonts w:ascii="Calibri"/>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BFAE6C6" w14:textId="77777777" w:rsidR="00F14B46" w:rsidRDefault="00F14B46" w:rsidP="001C0487">
                <w:pPr>
                  <w:rPr>
                    <w:color w:val="000000"/>
                    <w:sz w:val="20"/>
                  </w:rPr>
                </w:pPr>
                <w:r>
                  <w:rPr>
                    <w:color w:val="000000"/>
                    <w:sz w:val="2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0373F8CC" w14:textId="77777777" w:rsidR="00F14B46" w:rsidRDefault="00F14B46" w:rsidP="001C0487">
                <w:pPr>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131C6CCC"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44869AE9" w14:textId="77777777" w:rsidR="00F14B46" w:rsidRDefault="00F14B46" w:rsidP="001C0487">
                <w:pPr>
                  <w:jc w:val="right"/>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AF1BD73" w14:textId="77777777" w:rsidR="00F14B46" w:rsidRDefault="00F14B46" w:rsidP="001C0487">
                <w:pPr>
                  <w:rPr>
                    <w:color w:val="000000"/>
                    <w:sz w:val="20"/>
                  </w:rPr>
                </w:pPr>
                <w:r>
                  <w:rPr>
                    <w:color w:val="000000"/>
                    <w:sz w:val="2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26FDD8B1" w14:textId="77777777" w:rsidR="00F14B46" w:rsidRDefault="00F14B46" w:rsidP="001C0487">
                <w:pPr>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736ED823"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7E66AEBF" w14:textId="77777777" w:rsidR="00F14B46" w:rsidRDefault="00F14B46" w:rsidP="001C0487">
                <w:pPr>
                  <w:jc w:val="right"/>
                  <w:rPr>
                    <w:color w:val="000000"/>
                    <w:sz w:val="20"/>
                  </w:rPr>
                </w:pPr>
                <w:r>
                  <w:rPr>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44AD54A" w14:textId="77777777" w:rsidR="00F14B46" w:rsidRDefault="00F14B46" w:rsidP="001C0487">
                <w:pPr>
                  <w:rPr>
                    <w:color w:val="000000"/>
                    <w:sz w:val="20"/>
                  </w:rPr>
                </w:pPr>
                <w:r>
                  <w:rPr>
                    <w:color w:val="000000"/>
                    <w:sz w:val="2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05E55420" w14:textId="77777777" w:rsidR="00F14B46" w:rsidRDefault="00F14B46" w:rsidP="001C0487">
                <w:pPr>
                  <w:jc w:val="right"/>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bottom"/>
              </w:tcPr>
              <w:p w14:paraId="49D8F3BD"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230B88A2" w14:textId="77777777" w:rsidR="00F14B46" w:rsidRDefault="00F14B46" w:rsidP="001C0487">
                <w:pPr>
                  <w:rPr>
                    <w:rFonts w:ascii="Calibri"/>
                    <w:color w:val="000000"/>
                  </w:rPr>
                </w:pPr>
                <w:r>
                  <w:rPr>
                    <w:rFonts w:ascii="Calibri"/>
                    <w:color w:val="000000"/>
                  </w:rPr>
                  <w:t xml:space="preserve"> </w:t>
                </w:r>
              </w:p>
            </w:tc>
          </w:tr>
          <w:tr w:rsidR="00F14B46" w14:paraId="58B1CF15" w14:textId="77777777">
            <w:trPr>
              <w:cantSplit/>
            </w:trPr>
            <w:tc>
              <w:tcPr>
                <w:tcW w:w="2874" w:type="pct"/>
                <w:shd w:val="clear" w:color="auto" w:fill="FFFFFF"/>
                <w:tcMar>
                  <w:top w:w="15" w:type="dxa"/>
                  <w:left w:w="0" w:type="dxa"/>
                  <w:bottom w:w="0" w:type="dxa"/>
                  <w:right w:w="15" w:type="dxa"/>
                </w:tcMar>
                <w:vAlign w:val="bottom"/>
              </w:tcPr>
              <w:p w14:paraId="7428618A" w14:textId="77777777" w:rsidR="00F14B46" w:rsidRDefault="00F14B46" w:rsidP="001C0487">
                <w:pPr>
                  <w:keepNext/>
                  <w:rPr>
                    <w:rFonts w:ascii="Calibri"/>
                    <w:color w:val="000000"/>
                  </w:rPr>
                </w:pPr>
                <w:r>
                  <w:rPr>
                    <w:rFonts w:ascii="Calibri"/>
                    <w:color w:val="000000"/>
                  </w:rPr>
                  <w:t xml:space="preserve"> </w:t>
                </w:r>
              </w:p>
            </w:tc>
            <w:tc>
              <w:tcPr>
                <w:tcW w:w="2005" w:type="pct"/>
                <w:gridSpan w:val="10"/>
                <w:tcBorders>
                  <w:bottom w:val="single" w:sz="2" w:space="0" w:color="000000"/>
                </w:tcBorders>
                <w:shd w:val="clear" w:color="auto" w:fill="FFFFFF"/>
                <w:tcMar>
                  <w:top w:w="15" w:type="dxa"/>
                  <w:left w:w="0" w:type="dxa"/>
                  <w:bottom w:w="0" w:type="dxa"/>
                  <w:right w:w="15" w:type="dxa"/>
                </w:tcMar>
                <w:vAlign w:val="bottom"/>
              </w:tcPr>
              <w:p w14:paraId="4C32D648" w14:textId="77777777" w:rsidR="00F14B46" w:rsidRDefault="00F14B46" w:rsidP="001C0487">
                <w:pPr>
                  <w:jc w:val="center"/>
                  <w:rPr>
                    <w:rFonts w:ascii="Calibri"/>
                    <w:b/>
                    <w:color w:val="000000"/>
                  </w:rPr>
                </w:pPr>
                <w:r>
                  <w:rPr>
                    <w:rFonts w:ascii="Calibri"/>
                    <w:b/>
                    <w:color w:val="000000"/>
                  </w:rPr>
                  <w:t>Nine months ended September 30, 2019</w:t>
                </w:r>
              </w:p>
            </w:tc>
            <w:tc>
              <w:tcPr>
                <w:tcW w:w="50" w:type="pct"/>
                <w:shd w:val="clear" w:color="auto" w:fill="FFFFFF"/>
                <w:noWrap/>
                <w:tcMar>
                  <w:top w:w="15" w:type="dxa"/>
                  <w:left w:w="0" w:type="dxa"/>
                  <w:bottom w:w="0" w:type="dxa"/>
                  <w:right w:w="15" w:type="dxa"/>
                </w:tcMar>
                <w:vAlign w:val="bottom"/>
              </w:tcPr>
              <w:p w14:paraId="55535867" w14:textId="77777777" w:rsidR="00F14B46" w:rsidRDefault="00F14B46" w:rsidP="001C0487">
                <w:pPr>
                  <w:rPr>
                    <w:rFonts w:ascii="Calibri"/>
                    <w:b/>
                    <w:color w:val="000000"/>
                  </w:rPr>
                </w:pPr>
                <w:r>
                  <w:rPr>
                    <w:rFonts w:ascii="Calibri"/>
                    <w:b/>
                    <w:color w:val="000000"/>
                  </w:rPr>
                  <w:t xml:space="preserve"> </w:t>
                </w:r>
              </w:p>
            </w:tc>
            <w:tc>
              <w:tcPr>
                <w:tcW w:w="69" w:type="pct"/>
                <w:shd w:val="clear" w:color="auto" w:fill="FFFFFF"/>
                <w:tcMar>
                  <w:top w:w="15" w:type="dxa"/>
                  <w:left w:w="0" w:type="dxa"/>
                  <w:bottom w:w="0" w:type="dxa"/>
                  <w:right w:w="15" w:type="dxa"/>
                </w:tcMar>
                <w:vAlign w:val="bottom"/>
              </w:tcPr>
              <w:p w14:paraId="797355DC" w14:textId="77777777" w:rsidR="00F14B46" w:rsidRDefault="00F14B46" w:rsidP="001C0487">
                <w:pPr>
                  <w:rPr>
                    <w:rFonts w:ascii="Calibri"/>
                    <w:color w:val="000000"/>
                  </w:rPr>
                </w:pPr>
                <w:r>
                  <w:rPr>
                    <w:rFonts w:ascii="Calibri"/>
                    <w:color w:val="000000"/>
                  </w:rPr>
                  <w:t xml:space="preserve"> </w:t>
                </w:r>
              </w:p>
            </w:tc>
          </w:tr>
          <w:tr w:rsidR="00F14B46" w14:paraId="2D802DAC" w14:textId="77777777">
            <w:trPr>
              <w:cantSplit/>
            </w:trPr>
            <w:tc>
              <w:tcPr>
                <w:tcW w:w="2874" w:type="pct"/>
                <w:shd w:val="clear" w:color="auto" w:fill="FFFFFF"/>
                <w:tcMar>
                  <w:top w:w="15" w:type="dxa"/>
                  <w:left w:w="0" w:type="dxa"/>
                  <w:bottom w:w="0" w:type="dxa"/>
                  <w:right w:w="15" w:type="dxa"/>
                </w:tcMar>
                <w:vAlign w:val="bottom"/>
              </w:tcPr>
              <w:p w14:paraId="386243B4" w14:textId="77777777" w:rsidR="00F14B46" w:rsidRDefault="00F14B46" w:rsidP="001C0487">
                <w:pPr>
                  <w:keepNext/>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CCC1986" w14:textId="77777777" w:rsidR="00F14B46" w:rsidRDefault="00F14B46" w:rsidP="001C0487">
                <w:pPr>
                  <w:jc w:val="center"/>
                  <w:rPr>
                    <w:rFonts w:ascii="Calibri"/>
                    <w:color w:val="000000"/>
                  </w:rPr>
                </w:pPr>
                <w:r>
                  <w:rPr>
                    <w:rFonts w:ascii="Calibri"/>
                    <w:color w:val="000000"/>
                  </w:rPr>
                  <w:t>Income Before Income Taxes</w:t>
                </w:r>
              </w:p>
            </w:tc>
            <w:tc>
              <w:tcPr>
                <w:tcW w:w="50" w:type="pct"/>
                <w:shd w:val="clear" w:color="auto" w:fill="FFFFFF"/>
                <w:noWrap/>
                <w:tcMar>
                  <w:top w:w="15" w:type="dxa"/>
                  <w:left w:w="0" w:type="dxa"/>
                  <w:bottom w:w="0" w:type="dxa"/>
                  <w:right w:w="15" w:type="dxa"/>
                </w:tcMar>
                <w:vAlign w:val="bottom"/>
              </w:tcPr>
              <w:p w14:paraId="2CFBE7F2" w14:textId="77777777" w:rsidR="00F14B46" w:rsidRDefault="00F14B46" w:rsidP="001C0487">
                <w:pPr>
                  <w:rPr>
                    <w:rFonts w:ascii="Calibri"/>
                    <w:color w:val="000000"/>
                  </w:rPr>
                </w:pPr>
                <w:r>
                  <w:rPr>
                    <w:rFonts w:ascii="Calibri"/>
                    <w:color w:val="000000"/>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56FE0694" w14:textId="77777777" w:rsidR="00F14B46" w:rsidRDefault="00F14B46" w:rsidP="001C0487">
                <w:pPr>
                  <w:jc w:val="center"/>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A4F4989" w14:textId="77777777" w:rsidR="00F14B46" w:rsidRDefault="00F14B46" w:rsidP="001C0487">
                <w:pPr>
                  <w:jc w:val="center"/>
                  <w:rPr>
                    <w:rFonts w:ascii="Calibri"/>
                    <w:color w:val="000000"/>
                  </w:rPr>
                </w:pPr>
                <w:r>
                  <w:rPr>
                    <w:rFonts w:ascii="Calibri"/>
                    <w:color w:val="000000"/>
                  </w:rPr>
                  <w:t>Provision for Income Taxes</w:t>
                </w:r>
              </w:p>
            </w:tc>
            <w:tc>
              <w:tcPr>
                <w:tcW w:w="50" w:type="pct"/>
                <w:shd w:val="clear" w:color="auto" w:fill="FFFFFF"/>
                <w:noWrap/>
                <w:tcMar>
                  <w:top w:w="15" w:type="dxa"/>
                  <w:left w:w="0" w:type="dxa"/>
                  <w:bottom w:w="0" w:type="dxa"/>
                  <w:right w:w="15" w:type="dxa"/>
                </w:tcMar>
                <w:vAlign w:val="bottom"/>
              </w:tcPr>
              <w:p w14:paraId="7EC4EA94" w14:textId="77777777" w:rsidR="00F14B46" w:rsidRDefault="00F14B46" w:rsidP="001C0487">
                <w:pPr>
                  <w:rPr>
                    <w:rFonts w:ascii="Calibri"/>
                    <w:color w:val="000000"/>
                  </w:rPr>
                </w:pPr>
                <w:r>
                  <w:rPr>
                    <w:rFonts w:ascii="Calibri"/>
                    <w:color w:val="000000"/>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6368197D" w14:textId="77777777" w:rsidR="00F14B46" w:rsidRDefault="00F14B46" w:rsidP="001C0487">
                <w:pPr>
                  <w:jc w:val="center"/>
                  <w:rPr>
                    <w:rFonts w:ascii="Calibri"/>
                    <w:color w:val="000000"/>
                  </w:rPr>
                </w:pPr>
                <w:r>
                  <w:rPr>
                    <w:rFonts w:ascii="Calibri"/>
                    <w:color w:val="000000"/>
                  </w:rPr>
                  <w:t xml:space="preserve"> </w:t>
                </w:r>
              </w:p>
            </w:tc>
            <w:tc>
              <w:tcPr>
                <w:tcW w:w="58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BA6B5A4" w14:textId="77777777" w:rsidR="00F14B46" w:rsidRDefault="00F14B46" w:rsidP="001C0487">
                <w:pPr>
                  <w:jc w:val="center"/>
                  <w:rPr>
                    <w:rFonts w:ascii="Calibri"/>
                    <w:color w:val="000000"/>
                  </w:rPr>
                </w:pPr>
                <w:r>
                  <w:rPr>
                    <w:rFonts w:ascii="Calibri"/>
                    <w:color w:val="000000"/>
                  </w:rPr>
                  <w:t>Net Income</w:t>
                </w:r>
              </w:p>
            </w:tc>
            <w:tc>
              <w:tcPr>
                <w:tcW w:w="50" w:type="pct"/>
                <w:shd w:val="clear" w:color="auto" w:fill="FFFFFF"/>
                <w:noWrap/>
                <w:tcMar>
                  <w:top w:w="15" w:type="dxa"/>
                  <w:left w:w="0" w:type="dxa"/>
                  <w:bottom w:w="0" w:type="dxa"/>
                  <w:right w:w="15" w:type="dxa"/>
                </w:tcMar>
                <w:vAlign w:val="bottom"/>
              </w:tcPr>
              <w:p w14:paraId="35931744" w14:textId="77777777" w:rsidR="00F14B46" w:rsidRDefault="00F14B46" w:rsidP="001C0487">
                <w:pPr>
                  <w:rPr>
                    <w:rFonts w:ascii="Calibri"/>
                    <w:color w:val="000000"/>
                  </w:rPr>
                </w:pPr>
                <w:r>
                  <w:rPr>
                    <w:rFonts w:ascii="Calibri"/>
                    <w:color w:val="000000"/>
                  </w:rPr>
                  <w:t xml:space="preserve"> </w:t>
                </w:r>
              </w:p>
            </w:tc>
            <w:tc>
              <w:tcPr>
                <w:tcW w:w="69" w:type="pct"/>
                <w:shd w:val="clear" w:color="auto" w:fill="FFFFFF"/>
                <w:tcMar>
                  <w:top w:w="15" w:type="dxa"/>
                  <w:left w:w="0" w:type="dxa"/>
                  <w:bottom w:w="0" w:type="dxa"/>
                  <w:right w:w="15" w:type="dxa"/>
                </w:tcMar>
                <w:vAlign w:val="bottom"/>
              </w:tcPr>
              <w:p w14:paraId="66F05881" w14:textId="77777777" w:rsidR="00F14B46" w:rsidRDefault="00F14B46" w:rsidP="001C0487">
                <w:pPr>
                  <w:rPr>
                    <w:rFonts w:ascii="Calibri"/>
                    <w:color w:val="000000"/>
                  </w:rPr>
                </w:pPr>
                <w:r>
                  <w:rPr>
                    <w:rFonts w:ascii="Calibri"/>
                    <w:color w:val="000000"/>
                  </w:rPr>
                  <w:t xml:space="preserve"> </w:t>
                </w:r>
              </w:p>
            </w:tc>
          </w:tr>
          <w:tr w:rsidR="00F14B46" w14:paraId="3E28E01E" w14:textId="77777777">
            <w:trPr>
              <w:cantSplit/>
            </w:trPr>
            <w:tc>
              <w:tcPr>
                <w:tcW w:w="2874" w:type="pct"/>
                <w:shd w:val="clear" w:color="auto" w:fill="FFFFFF"/>
                <w:tcMar>
                  <w:top w:w="15" w:type="dxa"/>
                  <w:left w:w="0" w:type="dxa"/>
                  <w:bottom w:w="0" w:type="dxa"/>
                  <w:right w:w="15" w:type="dxa"/>
                </w:tcMar>
                <w:vAlign w:val="bottom"/>
              </w:tcPr>
              <w:p w14:paraId="2964ED09" w14:textId="77777777" w:rsidR="00F14B46" w:rsidRDefault="00F14B46" w:rsidP="001C0487">
                <w:pPr>
                  <w:keepNext/>
                  <w:rPr>
                    <w:rFonts w:ascii="Calibri"/>
                    <w:color w:val="000000"/>
                  </w:rPr>
                </w:pPr>
                <w:r>
                  <w:rPr>
                    <w:rFonts w:ascii="Calibri"/>
                    <w:color w:val="000000"/>
                  </w:rPr>
                  <w:t>GAAP basis</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FE64C09"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FFFFFF"/>
                <w:noWrap/>
                <w:tcMar>
                  <w:top w:w="15" w:type="dxa"/>
                  <w:left w:w="0" w:type="dxa"/>
                  <w:bottom w:w="0" w:type="dxa"/>
                  <w:right w:w="15" w:type="dxa"/>
                </w:tcMar>
                <w:vAlign w:val="bottom"/>
              </w:tcPr>
              <w:p w14:paraId="60FFBFF9" w14:textId="77777777" w:rsidR="00F14B46" w:rsidRDefault="00F14B46">
                <w:pPr>
                  <w:jc w:val="right"/>
                  <w:rPr>
                    <w:color w:val="000000"/>
                    <w:sz w:val="20"/>
                  </w:rPr>
                </w:pPr>
                <w:r>
                  <w:rPr>
                    <w:color w:val="000000"/>
                    <w:sz w:val="20"/>
                  </w:rPr>
                  <w:t>2,199,470</w:t>
                </w:r>
              </w:p>
            </w:tc>
            <w:tc>
              <w:tcPr>
                <w:tcW w:w="50" w:type="pct"/>
                <w:shd w:val="clear" w:color="auto" w:fill="FFFFFF"/>
                <w:noWrap/>
                <w:tcMar>
                  <w:top w:w="15" w:type="dxa"/>
                  <w:left w:w="0" w:type="dxa"/>
                  <w:bottom w:w="0" w:type="dxa"/>
                  <w:right w:w="15" w:type="dxa"/>
                </w:tcMar>
                <w:vAlign w:val="bottom"/>
              </w:tcPr>
              <w:p w14:paraId="4E7490F8"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68EA47F1"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ED6DE2F"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FFFFFF"/>
                <w:noWrap/>
                <w:tcMar>
                  <w:top w:w="15" w:type="dxa"/>
                  <w:left w:w="0" w:type="dxa"/>
                  <w:bottom w:w="0" w:type="dxa"/>
                  <w:right w:w="15" w:type="dxa"/>
                </w:tcMar>
                <w:vAlign w:val="bottom"/>
              </w:tcPr>
              <w:p w14:paraId="1416B806" w14:textId="77777777" w:rsidR="00F14B46" w:rsidRDefault="00F14B46">
                <w:pPr>
                  <w:jc w:val="right"/>
                  <w:rPr>
                    <w:color w:val="000000"/>
                    <w:sz w:val="20"/>
                  </w:rPr>
                </w:pPr>
                <w:r>
                  <w:rPr>
                    <w:color w:val="000000"/>
                    <w:sz w:val="20"/>
                  </w:rPr>
                  <w:t>558,367</w:t>
                </w:r>
              </w:p>
            </w:tc>
            <w:tc>
              <w:tcPr>
                <w:tcW w:w="50" w:type="pct"/>
                <w:shd w:val="clear" w:color="auto" w:fill="FFFFFF"/>
                <w:noWrap/>
                <w:tcMar>
                  <w:top w:w="15" w:type="dxa"/>
                  <w:left w:w="0" w:type="dxa"/>
                  <w:bottom w:w="0" w:type="dxa"/>
                  <w:right w:w="15" w:type="dxa"/>
                </w:tcMar>
                <w:vAlign w:val="bottom"/>
              </w:tcPr>
              <w:p w14:paraId="469E76E6"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484442A6"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DBDC620" w14:textId="77777777" w:rsidR="00F14B46" w:rsidRDefault="00F14B46">
                <w:pPr>
                  <w:rPr>
                    <w:color w:val="000000"/>
                    <w:sz w:val="20"/>
                  </w:rPr>
                </w:pPr>
                <w:r>
                  <w:rPr>
                    <w:color w:val="000000"/>
                    <w:sz w:val="20"/>
                  </w:rPr>
                  <w:t>$</w:t>
                </w:r>
              </w:p>
            </w:tc>
            <w:tc>
              <w:tcPr>
                <w:tcW w:w="538" w:type="pct"/>
                <w:tcBorders>
                  <w:top w:val="single" w:sz="2" w:space="0" w:color="000000"/>
                </w:tcBorders>
                <w:shd w:val="clear" w:color="auto" w:fill="FFFFFF"/>
                <w:noWrap/>
                <w:tcMar>
                  <w:top w:w="15" w:type="dxa"/>
                  <w:left w:w="0" w:type="dxa"/>
                  <w:bottom w:w="0" w:type="dxa"/>
                  <w:right w:w="15" w:type="dxa"/>
                </w:tcMar>
                <w:vAlign w:val="bottom"/>
              </w:tcPr>
              <w:p w14:paraId="7466A212" w14:textId="77777777" w:rsidR="00F14B46" w:rsidRDefault="00F14B46">
                <w:pPr>
                  <w:jc w:val="right"/>
                  <w:rPr>
                    <w:color w:val="000000"/>
                    <w:sz w:val="20"/>
                  </w:rPr>
                </w:pPr>
                <w:r>
                  <w:rPr>
                    <w:color w:val="000000"/>
                    <w:sz w:val="20"/>
                  </w:rPr>
                  <w:t>1,641,103</w:t>
                </w:r>
              </w:p>
            </w:tc>
            <w:tc>
              <w:tcPr>
                <w:tcW w:w="50" w:type="pct"/>
                <w:shd w:val="clear" w:color="auto" w:fill="FFFFFF"/>
                <w:noWrap/>
                <w:tcMar>
                  <w:top w:w="15" w:type="dxa"/>
                  <w:left w:w="0" w:type="dxa"/>
                  <w:bottom w:w="0" w:type="dxa"/>
                  <w:right w:w="15" w:type="dxa"/>
                </w:tcMar>
                <w:vAlign w:val="bottom"/>
              </w:tcPr>
              <w:p w14:paraId="206494D6"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4DAE98CD" w14:textId="77777777" w:rsidR="00F14B46" w:rsidRDefault="00F14B46" w:rsidP="001C0487">
                <w:pPr>
                  <w:rPr>
                    <w:rFonts w:ascii="Calibri"/>
                    <w:color w:val="000000"/>
                  </w:rPr>
                </w:pPr>
                <w:r>
                  <w:rPr>
                    <w:rFonts w:ascii="Calibri"/>
                    <w:color w:val="000000"/>
                  </w:rPr>
                  <w:t xml:space="preserve"> </w:t>
                </w:r>
              </w:p>
            </w:tc>
          </w:tr>
          <w:tr w:rsidR="00F14B46" w14:paraId="7C46EADF" w14:textId="77777777">
            <w:trPr>
              <w:cantSplit/>
            </w:trPr>
            <w:tc>
              <w:tcPr>
                <w:tcW w:w="2874" w:type="pct"/>
                <w:shd w:val="clear" w:color="auto" w:fill="CFF0FC"/>
                <w:tcMar>
                  <w:top w:w="15" w:type="dxa"/>
                  <w:left w:w="0" w:type="dxa"/>
                  <w:bottom w:w="0" w:type="dxa"/>
                  <w:right w:w="15" w:type="dxa"/>
                </w:tcMar>
                <w:vAlign w:val="bottom"/>
              </w:tcPr>
              <w:p w14:paraId="412AAB1A" w14:textId="77777777" w:rsidR="00F14B46" w:rsidRDefault="00F14B46" w:rsidP="001C0487">
                <w:pPr>
                  <w:keepNext/>
                  <w:rPr>
                    <w:color w:val="000000"/>
                    <w:sz w:val="20"/>
                  </w:rPr>
                </w:pPr>
                <w:r>
                  <w:rPr>
                    <w:color w:val="000000"/>
                    <w:sz w:val="20"/>
                  </w:rPr>
                  <w:t xml:space="preserve"> Add: merger and acquisition related expenses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CF2D3DF"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CFF0FC"/>
                <w:noWrap/>
                <w:tcMar>
                  <w:top w:w="15" w:type="dxa"/>
                  <w:left w:w="0" w:type="dxa"/>
                  <w:bottom w:w="0" w:type="dxa"/>
                  <w:right w:w="15" w:type="dxa"/>
                </w:tcMar>
                <w:vAlign w:val="bottom"/>
              </w:tcPr>
              <w:p w14:paraId="2AB6DA2B" w14:textId="77777777" w:rsidR="00F14B46" w:rsidRDefault="00F14B46" w:rsidP="001C0487">
                <w:pPr>
                  <w:jc w:val="right"/>
                  <w:rPr>
                    <w:color w:val="000000"/>
                    <w:sz w:val="20"/>
                  </w:rPr>
                </w:pPr>
                <w:r>
                  <w:rPr>
                    <w:color w:val="000000"/>
                    <w:sz w:val="20"/>
                  </w:rPr>
                  <w:t>—</w:t>
                </w:r>
              </w:p>
            </w:tc>
            <w:tc>
              <w:tcPr>
                <w:tcW w:w="50" w:type="pct"/>
                <w:shd w:val="clear" w:color="auto" w:fill="CFF0FC"/>
                <w:noWrap/>
                <w:tcMar>
                  <w:top w:w="15" w:type="dxa"/>
                  <w:left w:w="0" w:type="dxa"/>
                  <w:bottom w:w="0" w:type="dxa"/>
                  <w:right w:w="15" w:type="dxa"/>
                </w:tcMar>
                <w:vAlign w:val="bottom"/>
              </w:tcPr>
              <w:p w14:paraId="43DC7A63" w14:textId="77777777" w:rsidR="00F14B46" w:rsidRDefault="00F14B46" w:rsidP="001C0487">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7C500ED7" w14:textId="77777777" w:rsidR="00F14B46" w:rsidRDefault="00F14B46" w:rsidP="001C0487">
                <w:pPr>
                  <w:jc w:val="right"/>
                  <w:rPr>
                    <w:color w:val="000000"/>
                    <w:sz w:val="20"/>
                  </w:rPr>
                </w:pPr>
                <w:r>
                  <w:rPr>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6563702"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CFF0FC"/>
                <w:noWrap/>
                <w:tcMar>
                  <w:top w:w="15" w:type="dxa"/>
                  <w:left w:w="0" w:type="dxa"/>
                  <w:bottom w:w="0" w:type="dxa"/>
                  <w:right w:w="15" w:type="dxa"/>
                </w:tcMar>
                <w:vAlign w:val="bottom"/>
              </w:tcPr>
              <w:p w14:paraId="54890697" w14:textId="77777777" w:rsidR="00F14B46" w:rsidRDefault="00F14B46" w:rsidP="001C0487">
                <w:pPr>
                  <w:jc w:val="right"/>
                  <w:rPr>
                    <w:color w:val="000000"/>
                    <w:sz w:val="20"/>
                  </w:rPr>
                </w:pPr>
                <w:r>
                  <w:rPr>
                    <w:color w:val="000000"/>
                    <w:sz w:val="20"/>
                  </w:rPr>
                  <w:t>—</w:t>
                </w:r>
              </w:p>
            </w:tc>
            <w:tc>
              <w:tcPr>
                <w:tcW w:w="50" w:type="pct"/>
                <w:shd w:val="clear" w:color="auto" w:fill="CFF0FC"/>
                <w:noWrap/>
                <w:tcMar>
                  <w:top w:w="15" w:type="dxa"/>
                  <w:left w:w="0" w:type="dxa"/>
                  <w:bottom w:w="0" w:type="dxa"/>
                  <w:right w:w="15" w:type="dxa"/>
                </w:tcMar>
                <w:vAlign w:val="bottom"/>
              </w:tcPr>
              <w:p w14:paraId="27CEB7E8" w14:textId="77777777" w:rsidR="00F14B46" w:rsidRDefault="00F14B46" w:rsidP="001C0487">
                <w:pPr>
                  <w:rPr>
                    <w:color w:val="000000"/>
                    <w:sz w:val="20"/>
                  </w:rPr>
                </w:pPr>
                <w:r>
                  <w:rPr>
                    <w:color w:val="000000"/>
                    <w:sz w:val="20"/>
                  </w:rPr>
                  <w:t xml:space="preserve"> </w:t>
                </w:r>
              </w:p>
            </w:tc>
            <w:tc>
              <w:tcPr>
                <w:tcW w:w="69" w:type="pct"/>
                <w:shd w:val="clear" w:color="auto" w:fill="CFF0FC"/>
                <w:tcMar>
                  <w:top w:w="15" w:type="dxa"/>
                  <w:left w:w="0" w:type="dxa"/>
                  <w:bottom w:w="0" w:type="dxa"/>
                  <w:right w:w="15" w:type="dxa"/>
                </w:tcMar>
                <w:vAlign w:val="bottom"/>
              </w:tcPr>
              <w:p w14:paraId="40720C15" w14:textId="77777777" w:rsidR="00F14B46" w:rsidRDefault="00F14B46" w:rsidP="001C0487">
                <w:pPr>
                  <w:jc w:val="right"/>
                  <w:rPr>
                    <w:color w:val="000000"/>
                    <w:sz w:val="20"/>
                  </w:rPr>
                </w:pPr>
                <w:r>
                  <w:rPr>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246626F" w14:textId="77777777" w:rsidR="00F14B46" w:rsidRDefault="00F14B46" w:rsidP="001C0487">
                <w:pPr>
                  <w:rPr>
                    <w:color w:val="000000"/>
                    <w:sz w:val="20"/>
                  </w:rPr>
                </w:pPr>
                <w:r>
                  <w:rPr>
                    <w:color w:val="000000"/>
                    <w:sz w:val="20"/>
                  </w:rPr>
                  <w:t xml:space="preserve"> </w:t>
                </w:r>
              </w:p>
            </w:tc>
            <w:tc>
              <w:tcPr>
                <w:tcW w:w="538" w:type="pct"/>
                <w:tcBorders>
                  <w:bottom w:val="single" w:sz="2" w:space="0" w:color="000000"/>
                </w:tcBorders>
                <w:shd w:val="clear" w:color="auto" w:fill="CFF0FC"/>
                <w:noWrap/>
                <w:tcMar>
                  <w:top w:w="15" w:type="dxa"/>
                  <w:left w:w="0" w:type="dxa"/>
                  <w:bottom w:w="0" w:type="dxa"/>
                  <w:right w:w="15" w:type="dxa"/>
                </w:tcMar>
                <w:vAlign w:val="bottom"/>
              </w:tcPr>
              <w:p w14:paraId="113B303E" w14:textId="77777777" w:rsidR="00F14B46" w:rsidRDefault="00F14B46" w:rsidP="001C0487">
                <w:pPr>
                  <w:jc w:val="right"/>
                  <w:rPr>
                    <w:color w:val="000000"/>
                    <w:sz w:val="20"/>
                  </w:rPr>
                </w:pPr>
                <w:r>
                  <w:rPr>
                    <w:color w:val="000000"/>
                    <w:sz w:val="20"/>
                  </w:rPr>
                  <w:t>—</w:t>
                </w:r>
              </w:p>
            </w:tc>
            <w:tc>
              <w:tcPr>
                <w:tcW w:w="50" w:type="pct"/>
                <w:shd w:val="clear" w:color="auto" w:fill="CFF0FC"/>
                <w:noWrap/>
                <w:tcMar>
                  <w:top w:w="15" w:type="dxa"/>
                  <w:left w:w="0" w:type="dxa"/>
                  <w:bottom w:w="0" w:type="dxa"/>
                  <w:right w:w="15" w:type="dxa"/>
                </w:tcMar>
                <w:vAlign w:val="bottom"/>
              </w:tcPr>
              <w:p w14:paraId="26B66E00" w14:textId="77777777" w:rsidR="00F14B46" w:rsidRDefault="00F14B46" w:rsidP="001C0487">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3FA6C7AC" w14:textId="77777777" w:rsidR="00F14B46" w:rsidRDefault="00F14B46" w:rsidP="001C0487">
                <w:pPr>
                  <w:rPr>
                    <w:rFonts w:ascii="Calibri"/>
                    <w:color w:val="000000"/>
                  </w:rPr>
                </w:pPr>
                <w:r>
                  <w:rPr>
                    <w:rFonts w:ascii="Calibri"/>
                    <w:color w:val="000000"/>
                  </w:rPr>
                  <w:t xml:space="preserve"> </w:t>
                </w:r>
              </w:p>
            </w:tc>
          </w:tr>
          <w:tr w:rsidR="00F14B46" w14:paraId="300E1A96" w14:textId="77777777">
            <w:trPr>
              <w:cantSplit/>
            </w:trPr>
            <w:tc>
              <w:tcPr>
                <w:tcW w:w="2874" w:type="pct"/>
                <w:shd w:val="clear" w:color="auto" w:fill="FFFFFF"/>
                <w:tcMar>
                  <w:top w:w="15" w:type="dxa"/>
                  <w:left w:w="0" w:type="dxa"/>
                  <w:bottom w:w="0" w:type="dxa"/>
                  <w:right w:w="15" w:type="dxa"/>
                </w:tcMar>
                <w:vAlign w:val="bottom"/>
              </w:tcPr>
              <w:p w14:paraId="47AD619A" w14:textId="77777777" w:rsidR="00F14B46" w:rsidRDefault="00F14B46" w:rsidP="001C0487">
                <w:pPr>
                  <w:keepNext/>
                  <w:rPr>
                    <w:rFonts w:ascii="Calibri"/>
                    <w:color w:val="000000"/>
                  </w:rPr>
                </w:pPr>
                <w:r>
                  <w:rPr>
                    <w:rFonts w:ascii="Calibri"/>
                    <w:color w:val="000000"/>
                  </w:rPr>
                  <w:t>Non-GAAP basis</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1861CB2"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107CB01" w14:textId="77777777" w:rsidR="00F14B46" w:rsidRDefault="00F14B46">
                <w:pPr>
                  <w:jc w:val="right"/>
                  <w:rPr>
                    <w:color w:val="000000"/>
                    <w:sz w:val="20"/>
                  </w:rPr>
                </w:pPr>
                <w:r>
                  <w:rPr>
                    <w:color w:val="000000"/>
                    <w:sz w:val="20"/>
                  </w:rPr>
                  <w:t>2,199,470</w:t>
                </w:r>
              </w:p>
            </w:tc>
            <w:tc>
              <w:tcPr>
                <w:tcW w:w="50" w:type="pct"/>
                <w:shd w:val="clear" w:color="auto" w:fill="FFFFFF"/>
                <w:noWrap/>
                <w:tcMar>
                  <w:top w:w="15" w:type="dxa"/>
                  <w:left w:w="0" w:type="dxa"/>
                  <w:bottom w:w="0" w:type="dxa"/>
                  <w:right w:w="15" w:type="dxa"/>
                </w:tcMar>
                <w:vAlign w:val="bottom"/>
              </w:tcPr>
              <w:p w14:paraId="5303C63F"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52D9337B"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198D24B"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C87492" w14:textId="77777777" w:rsidR="00F14B46" w:rsidRDefault="00F14B46">
                <w:pPr>
                  <w:jc w:val="right"/>
                  <w:rPr>
                    <w:color w:val="000000"/>
                    <w:sz w:val="20"/>
                  </w:rPr>
                </w:pPr>
                <w:r>
                  <w:rPr>
                    <w:color w:val="000000"/>
                    <w:sz w:val="20"/>
                  </w:rPr>
                  <w:t>558,367</w:t>
                </w:r>
              </w:p>
            </w:tc>
            <w:tc>
              <w:tcPr>
                <w:tcW w:w="50" w:type="pct"/>
                <w:shd w:val="clear" w:color="auto" w:fill="FFFFFF"/>
                <w:noWrap/>
                <w:tcMar>
                  <w:top w:w="15" w:type="dxa"/>
                  <w:left w:w="0" w:type="dxa"/>
                  <w:bottom w:w="0" w:type="dxa"/>
                  <w:right w:w="15" w:type="dxa"/>
                </w:tcMar>
                <w:vAlign w:val="bottom"/>
              </w:tcPr>
              <w:p w14:paraId="3B2CB91D"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3DC67097" w14:textId="77777777" w:rsidR="00F14B46" w:rsidRDefault="00F14B46" w:rsidP="001C0487">
                <w:pPr>
                  <w:jc w:val="right"/>
                  <w:rPr>
                    <w:color w:val="000000"/>
                    <w:sz w:val="20"/>
                  </w:rPr>
                </w:pPr>
                <w:r>
                  <w:rPr>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0DA2FA5" w14:textId="77777777" w:rsidR="00F14B46" w:rsidRDefault="00F14B46">
                <w:pPr>
                  <w:rPr>
                    <w:color w:val="000000"/>
                    <w:sz w:val="20"/>
                  </w:rPr>
                </w:pPr>
                <w:r>
                  <w:rPr>
                    <w:color w:val="000000"/>
                    <w:sz w:val="20"/>
                  </w:rPr>
                  <w:t>$</w:t>
                </w:r>
              </w:p>
            </w:tc>
            <w:tc>
              <w:tcPr>
                <w:tcW w:w="53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D6277CD" w14:textId="77777777" w:rsidR="00F14B46" w:rsidRDefault="00F14B46">
                <w:pPr>
                  <w:jc w:val="right"/>
                  <w:rPr>
                    <w:color w:val="000000"/>
                    <w:sz w:val="20"/>
                  </w:rPr>
                </w:pPr>
                <w:r>
                  <w:rPr>
                    <w:color w:val="000000"/>
                    <w:sz w:val="20"/>
                  </w:rPr>
                  <w:t>1,641,103</w:t>
                </w:r>
              </w:p>
            </w:tc>
            <w:tc>
              <w:tcPr>
                <w:tcW w:w="50" w:type="pct"/>
                <w:shd w:val="clear" w:color="auto" w:fill="FFFFFF"/>
                <w:noWrap/>
                <w:tcMar>
                  <w:top w:w="15" w:type="dxa"/>
                  <w:left w:w="0" w:type="dxa"/>
                  <w:bottom w:w="0" w:type="dxa"/>
                  <w:right w:w="15" w:type="dxa"/>
                </w:tcMar>
                <w:vAlign w:val="bottom"/>
              </w:tcPr>
              <w:p w14:paraId="559AC96A" w14:textId="77777777" w:rsidR="00F14B46" w:rsidRDefault="00F14B46">
                <w:pPr>
                  <w:rPr>
                    <w:color w:val="000000"/>
                    <w:sz w:val="20"/>
                  </w:rPr>
                </w:pPr>
                <w:r>
                  <w:rPr>
                    <w:color w:val="000000"/>
                    <w:sz w:val="20"/>
                  </w:rPr>
                  <w:t xml:space="preserve"> </w:t>
                </w:r>
              </w:p>
            </w:tc>
            <w:tc>
              <w:tcPr>
                <w:tcW w:w="69" w:type="pct"/>
                <w:shd w:val="clear" w:color="auto" w:fill="FFFFFF"/>
                <w:tcMar>
                  <w:top w:w="15" w:type="dxa"/>
                  <w:left w:w="0" w:type="dxa"/>
                  <w:bottom w:w="0" w:type="dxa"/>
                  <w:right w:w="15" w:type="dxa"/>
                </w:tcMar>
                <w:vAlign w:val="bottom"/>
              </w:tcPr>
              <w:p w14:paraId="2E2DD9ED" w14:textId="77777777" w:rsidR="00F14B46" w:rsidRDefault="00F14B46" w:rsidP="001C0487">
                <w:pPr>
                  <w:rPr>
                    <w:rFonts w:ascii="Calibri"/>
                    <w:color w:val="000000"/>
                  </w:rPr>
                </w:pPr>
                <w:r>
                  <w:rPr>
                    <w:rFonts w:ascii="Calibri"/>
                    <w:color w:val="000000"/>
                  </w:rPr>
                  <w:t xml:space="preserve"> </w:t>
                </w:r>
              </w:p>
            </w:tc>
          </w:tr>
          <w:tr w:rsidR="00F14B46" w14:paraId="167EF535" w14:textId="77777777">
            <w:trPr>
              <w:cantSplit/>
            </w:trPr>
            <w:tc>
              <w:tcPr>
                <w:tcW w:w="2874" w:type="pct"/>
                <w:shd w:val="clear" w:color="auto" w:fill="FFFFFF"/>
                <w:tcMar>
                  <w:top w:w="15" w:type="dxa"/>
                  <w:left w:w="0" w:type="dxa"/>
                  <w:bottom w:w="0" w:type="dxa"/>
                  <w:right w:w="15" w:type="dxa"/>
                </w:tcMar>
                <w:vAlign w:val="bottom"/>
              </w:tcPr>
              <w:p w14:paraId="3E9F3F48" w14:textId="77777777" w:rsidR="00F14B46" w:rsidRDefault="00F14B46" w:rsidP="001C0487">
                <w:pPr>
                  <w:rPr>
                    <w:rFonts w:ascii="Calibri"/>
                    <w:color w:val="000000"/>
                  </w:rPr>
                </w:pPr>
                <w:r>
                  <w:rPr>
                    <w:rFonts w:ascii="Calibri"/>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E4B7875" w14:textId="77777777" w:rsidR="00F14B46" w:rsidRDefault="00F14B46" w:rsidP="001C0487">
                <w:pPr>
                  <w:rPr>
                    <w:rFonts w:ascii="Calibri"/>
                    <w:color w:val="000000"/>
                  </w:rPr>
                </w:pPr>
                <w:r>
                  <w:rPr>
                    <w:rFonts w:ascii="Calibri"/>
                    <w:color w:val="00000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30590F66" w14:textId="77777777" w:rsidR="00F14B46" w:rsidRDefault="00F14B46" w:rsidP="001C0487">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63B08F4C" w14:textId="77777777" w:rsidR="00F14B46" w:rsidRDefault="00F14B46" w:rsidP="001C0487">
                <w:pPr>
                  <w:rPr>
                    <w:rFonts w:ascii="Calibri"/>
                    <w:color w:val="000000"/>
                  </w:rPr>
                </w:pPr>
                <w:r>
                  <w:rPr>
                    <w:rFonts w:ascii="Calibri"/>
                    <w:color w:val="000000"/>
                  </w:rPr>
                  <w:t xml:space="preserve"> </w:t>
                </w:r>
              </w:p>
            </w:tc>
            <w:tc>
              <w:tcPr>
                <w:tcW w:w="69" w:type="pct"/>
                <w:shd w:val="clear" w:color="auto" w:fill="FFFFFF"/>
                <w:tcMar>
                  <w:top w:w="15" w:type="dxa"/>
                  <w:left w:w="0" w:type="dxa"/>
                  <w:bottom w:w="0" w:type="dxa"/>
                  <w:right w:w="15" w:type="dxa"/>
                </w:tcMar>
                <w:vAlign w:val="bottom"/>
              </w:tcPr>
              <w:p w14:paraId="07764F3F" w14:textId="77777777" w:rsidR="00F14B46" w:rsidRDefault="00F14B46" w:rsidP="001C0487">
                <w:pPr>
                  <w:rPr>
                    <w:rFonts w:ascii="Calibri"/>
                    <w:color w:val="000000"/>
                  </w:rPr>
                </w:pPr>
                <w:r>
                  <w:rPr>
                    <w:rFonts w:ascii="Calibri"/>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0CAE84B" w14:textId="77777777" w:rsidR="00F14B46" w:rsidRDefault="00F14B46" w:rsidP="001C0487">
                <w:pPr>
                  <w:rPr>
                    <w:rFonts w:ascii="Calibri"/>
                    <w:color w:val="000000"/>
                  </w:rPr>
                </w:pPr>
                <w:r>
                  <w:rPr>
                    <w:rFonts w:ascii="Calibri"/>
                    <w:color w:val="00000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633E7F3A" w14:textId="77777777" w:rsidR="00F14B46" w:rsidRDefault="00F14B46" w:rsidP="001C0487">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6FA3C92E" w14:textId="77777777" w:rsidR="00F14B46" w:rsidRDefault="00F14B46" w:rsidP="001C0487">
                <w:pPr>
                  <w:rPr>
                    <w:rFonts w:ascii="Calibri"/>
                    <w:color w:val="000000"/>
                  </w:rPr>
                </w:pPr>
                <w:r>
                  <w:rPr>
                    <w:rFonts w:ascii="Calibri"/>
                    <w:color w:val="000000"/>
                  </w:rPr>
                  <w:t xml:space="preserve"> </w:t>
                </w:r>
              </w:p>
            </w:tc>
            <w:tc>
              <w:tcPr>
                <w:tcW w:w="69" w:type="pct"/>
                <w:shd w:val="clear" w:color="auto" w:fill="FFFFFF"/>
                <w:tcMar>
                  <w:top w:w="15" w:type="dxa"/>
                  <w:left w:w="0" w:type="dxa"/>
                  <w:bottom w:w="0" w:type="dxa"/>
                  <w:right w:w="15" w:type="dxa"/>
                </w:tcMar>
                <w:vAlign w:val="bottom"/>
              </w:tcPr>
              <w:p w14:paraId="7969E63D" w14:textId="77777777" w:rsidR="00F14B46" w:rsidRDefault="00F14B46" w:rsidP="001C0487">
                <w:pPr>
                  <w:rPr>
                    <w:rFonts w:ascii="Calibri"/>
                    <w:color w:val="000000"/>
                  </w:rPr>
                </w:pPr>
                <w:r>
                  <w:rPr>
                    <w:rFonts w:ascii="Calibri"/>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EB2AE2A" w14:textId="77777777" w:rsidR="00F14B46" w:rsidRDefault="00F14B46" w:rsidP="001C0487">
                <w:pPr>
                  <w:rPr>
                    <w:rFonts w:ascii="Calibri"/>
                    <w:color w:val="000000"/>
                  </w:rPr>
                </w:pPr>
                <w:r>
                  <w:rPr>
                    <w:rFonts w:ascii="Calibri"/>
                    <w:color w:val="000000"/>
                  </w:rPr>
                  <w:t xml:space="preserve"> </w:t>
                </w:r>
              </w:p>
            </w:tc>
            <w:tc>
              <w:tcPr>
                <w:tcW w:w="538" w:type="pct"/>
                <w:tcBorders>
                  <w:top w:val="double" w:sz="6" w:space="0" w:color="000000"/>
                </w:tcBorders>
                <w:shd w:val="clear" w:color="auto" w:fill="FFFFFF"/>
                <w:noWrap/>
                <w:tcMar>
                  <w:top w:w="15" w:type="dxa"/>
                  <w:left w:w="0" w:type="dxa"/>
                  <w:bottom w:w="0" w:type="dxa"/>
                  <w:right w:w="15" w:type="dxa"/>
                </w:tcMar>
                <w:vAlign w:val="bottom"/>
              </w:tcPr>
              <w:p w14:paraId="57D072C6" w14:textId="77777777" w:rsidR="00F14B46" w:rsidRDefault="00F14B46" w:rsidP="001C0487">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72CFF6F6" w14:textId="77777777" w:rsidR="00F14B46" w:rsidRDefault="00F14B46" w:rsidP="001C0487">
                <w:pPr>
                  <w:rPr>
                    <w:rFonts w:ascii="Calibri"/>
                    <w:color w:val="000000"/>
                  </w:rPr>
                </w:pPr>
                <w:r>
                  <w:rPr>
                    <w:rFonts w:ascii="Calibri"/>
                    <w:color w:val="000000"/>
                  </w:rPr>
                  <w:t xml:space="preserve"> </w:t>
                </w:r>
              </w:p>
            </w:tc>
            <w:tc>
              <w:tcPr>
                <w:tcW w:w="69" w:type="pct"/>
                <w:shd w:val="clear" w:color="auto" w:fill="FFFFFF"/>
                <w:tcMar>
                  <w:top w:w="15" w:type="dxa"/>
                  <w:left w:w="0" w:type="dxa"/>
                  <w:bottom w:w="0" w:type="dxa"/>
                  <w:right w:w="15" w:type="dxa"/>
                </w:tcMar>
                <w:vAlign w:val="bottom"/>
              </w:tcPr>
              <w:p w14:paraId="2F421DD3" w14:textId="05C951D0" w:rsidR="00F14B46" w:rsidRDefault="00F14B46" w:rsidP="001C0487">
                <w:pPr>
                  <w:rPr>
                    <w:rFonts w:ascii="Calibri"/>
                    <w:color w:val="000000"/>
                  </w:rPr>
                </w:pPr>
                <w:r>
                  <w:rPr>
                    <w:rFonts w:ascii="Calibri"/>
                    <w:color w:val="000000"/>
                    <w:sz w:val="2"/>
                  </w:rPr>
                  <w:t xml:space="preserve"> </w:t>
                </w:r>
              </w:p>
            </w:tc>
          </w:tr>
        </w:tbl>
      </w:sdtContent>
    </w:sdt>
    <w:p w14:paraId="03F28C9E" w14:textId="77777777" w:rsidR="005A58C0" w:rsidRDefault="005A58C0" w:rsidP="001C1436">
      <w:pPr>
        <w:ind w:left="720" w:hanging="720"/>
        <w:rPr>
          <w:rFonts w:asciiTheme="minorHAnsi" w:hAnsiTheme="minorHAnsi"/>
          <w:sz w:val="18"/>
        </w:rPr>
      </w:pPr>
    </w:p>
    <w:p w14:paraId="1DA5E7F5" w14:textId="77777777" w:rsidR="005A58C0" w:rsidRDefault="005A58C0" w:rsidP="005A58C0">
      <w:pPr>
        <w:jc w:val="both"/>
        <w:rPr>
          <w:rFonts w:asciiTheme="minorHAnsi" w:hAnsiTheme="minorHAnsi"/>
          <w:sz w:val="18"/>
        </w:rPr>
      </w:pPr>
      <w:r>
        <w:rPr>
          <w:color w:val="000000"/>
          <w:sz w:val="20"/>
          <w:szCs w:val="20"/>
          <w:shd w:val="clear" w:color="auto" w:fill="FFFFFF"/>
        </w:rPr>
        <w:t>The Company’s management believes that the presentation of net income on a non-GAAP basis, excluding nonrecurring items, provides useful information for evaluating the Company’s operating results and any related trends that may be affecting the Company’s business. These disclosures should not be viewed as a substitute for operating results determined in accordance with GAAP.</w:t>
      </w:r>
    </w:p>
    <w:p w14:paraId="28301718" w14:textId="77777777" w:rsidR="005A58C0" w:rsidRDefault="005A58C0" w:rsidP="001C1436">
      <w:pPr>
        <w:ind w:left="720" w:hanging="720"/>
        <w:rPr>
          <w:rFonts w:asciiTheme="minorHAnsi" w:hAnsiTheme="minorHAnsi"/>
          <w:sz w:val="18"/>
        </w:rPr>
      </w:pPr>
    </w:p>
    <w:sdt>
      <w:sdtPr>
        <w:alias w:val="AL-GAAP2 - BSBK_Workbook"/>
        <w:tag w:val="621801a4-937e-4762-b3a9-80e947f059bb"/>
        <w:id w:val="990367837"/>
      </w:sdt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214"/>
            <w:gridCol w:w="86"/>
            <w:gridCol w:w="1370"/>
            <w:gridCol w:w="183"/>
            <w:gridCol w:w="154"/>
            <w:gridCol w:w="87"/>
            <w:gridCol w:w="1370"/>
            <w:gridCol w:w="182"/>
            <w:gridCol w:w="154"/>
          </w:tblGrid>
          <w:tr w:rsidR="006C4CF4" w14:paraId="4A4B6559" w14:textId="77777777">
            <w:trPr>
              <w:cantSplit/>
            </w:trPr>
            <w:tc>
              <w:tcPr>
                <w:tcW w:w="3349" w:type="pct"/>
                <w:shd w:val="clear" w:color="auto" w:fill="FFFFFF"/>
                <w:tcMar>
                  <w:top w:w="15" w:type="dxa"/>
                  <w:left w:w="0" w:type="dxa"/>
                  <w:bottom w:w="0" w:type="dxa"/>
                  <w:right w:w="15" w:type="dxa"/>
                </w:tcMar>
                <w:vAlign w:val="bottom"/>
              </w:tcPr>
              <w:p w14:paraId="366DEFAD" w14:textId="7675E4CF" w:rsidR="006C4CF4" w:rsidRDefault="006C4CF4">
                <w:pPr>
                  <w:keepNext/>
                  <w:rPr>
                    <w:rFonts w:ascii="Calibri"/>
                    <w:color w:val="000000"/>
                  </w:rPr>
                </w:pPr>
                <w:r>
                  <w:t xml:space="preserve"> </w:t>
                </w:r>
                <w:r>
                  <w:rPr>
                    <w:rFonts w:ascii="Calibri"/>
                    <w:color w:val="000000"/>
                  </w:rPr>
                  <w:t xml:space="preserve"> </w:t>
                </w:r>
              </w:p>
            </w:tc>
            <w:tc>
              <w:tcPr>
                <w:tcW w:w="1519" w:type="pct"/>
                <w:gridSpan w:val="6"/>
                <w:tcBorders>
                  <w:bottom w:val="single" w:sz="2" w:space="0" w:color="000000"/>
                </w:tcBorders>
                <w:shd w:val="clear" w:color="auto" w:fill="FFFFFF"/>
                <w:tcMar>
                  <w:top w:w="15" w:type="dxa"/>
                  <w:left w:w="0" w:type="dxa"/>
                  <w:bottom w:w="0" w:type="dxa"/>
                  <w:right w:w="15" w:type="dxa"/>
                </w:tcMar>
                <w:vAlign w:val="bottom"/>
              </w:tcPr>
              <w:p w14:paraId="32909737" w14:textId="77777777" w:rsidR="006C4CF4" w:rsidRDefault="006C4CF4">
                <w:pPr>
                  <w:jc w:val="center"/>
                  <w:rPr>
                    <w:rFonts w:ascii="Calibri"/>
                    <w:b/>
                    <w:color w:val="000000"/>
                  </w:rPr>
                </w:pPr>
                <w:r>
                  <w:rPr>
                    <w:rFonts w:ascii="Calibri"/>
                    <w:b/>
                    <w:color w:val="000000"/>
                  </w:rPr>
                  <w:t>Nine months ended September 30,</w:t>
                </w:r>
              </w:p>
            </w:tc>
            <w:tc>
              <w:tcPr>
                <w:tcW w:w="50" w:type="pct"/>
                <w:shd w:val="clear" w:color="auto" w:fill="FFFFFF"/>
                <w:noWrap/>
                <w:tcMar>
                  <w:top w:w="15" w:type="dxa"/>
                  <w:left w:w="0" w:type="dxa"/>
                  <w:bottom w:w="0" w:type="dxa"/>
                  <w:right w:w="15" w:type="dxa"/>
                </w:tcMar>
                <w:vAlign w:val="bottom"/>
              </w:tcPr>
              <w:p w14:paraId="7005EAE0" w14:textId="77777777" w:rsidR="006C4CF4" w:rsidRDefault="006C4CF4">
                <w:pPr>
                  <w:rPr>
                    <w:rFonts w:ascii="Calibri"/>
                    <w:b/>
                    <w:color w:val="000000"/>
                  </w:rPr>
                </w:pPr>
                <w:r>
                  <w:rPr>
                    <w:rFonts w:ascii="Calibri"/>
                    <w:b/>
                    <w:color w:val="000000"/>
                  </w:rPr>
                  <w:t xml:space="preserve"> </w:t>
                </w:r>
              </w:p>
            </w:tc>
            <w:tc>
              <w:tcPr>
                <w:tcW w:w="81" w:type="pct"/>
                <w:shd w:val="clear" w:color="auto" w:fill="FFFFFF"/>
                <w:tcMar>
                  <w:top w:w="15" w:type="dxa"/>
                  <w:left w:w="0" w:type="dxa"/>
                  <w:bottom w:w="0" w:type="dxa"/>
                  <w:right w:w="15" w:type="dxa"/>
                </w:tcMar>
                <w:vAlign w:val="bottom"/>
              </w:tcPr>
              <w:p w14:paraId="2E1081AC" w14:textId="77777777" w:rsidR="006C4CF4" w:rsidRDefault="006C4CF4">
                <w:pPr>
                  <w:jc w:val="center"/>
                  <w:rPr>
                    <w:rFonts w:ascii="Calibri"/>
                    <w:b/>
                    <w:color w:val="000000"/>
                  </w:rPr>
                </w:pPr>
                <w:r>
                  <w:rPr>
                    <w:rFonts w:ascii="Calibri"/>
                    <w:b/>
                    <w:color w:val="000000"/>
                  </w:rPr>
                  <w:t xml:space="preserve"> </w:t>
                </w:r>
              </w:p>
            </w:tc>
          </w:tr>
          <w:tr w:rsidR="006C4CF4" w14:paraId="658C1BEC" w14:textId="77777777">
            <w:trPr>
              <w:cantSplit/>
            </w:trPr>
            <w:tc>
              <w:tcPr>
                <w:tcW w:w="3349" w:type="pct"/>
                <w:shd w:val="clear" w:color="auto" w:fill="FFFFFF"/>
                <w:tcMar>
                  <w:top w:w="15" w:type="dxa"/>
                  <w:left w:w="0" w:type="dxa"/>
                  <w:bottom w:w="0" w:type="dxa"/>
                  <w:right w:w="15" w:type="dxa"/>
                </w:tcMar>
                <w:vAlign w:val="center"/>
              </w:tcPr>
              <w:p w14:paraId="72AAF7CD" w14:textId="77777777" w:rsidR="006C4CF4" w:rsidRDefault="006C4CF4">
                <w:pPr>
                  <w:keepNext/>
                  <w:ind w:left="137"/>
                  <w:rPr>
                    <w:rFonts w:ascii="Calibri"/>
                    <w:color w:val="000000"/>
                  </w:rPr>
                </w:pPr>
                <w:r>
                  <w:rPr>
                    <w:rFonts w:ascii="Calibri"/>
                    <w:color w:val="000000"/>
                  </w:rPr>
                  <w:t>Return on average assets (annualized):</w:t>
                </w:r>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center"/>
              </w:tcPr>
              <w:p w14:paraId="23F15FF9" w14:textId="77777777" w:rsidR="006C4CF4" w:rsidRDefault="006C4CF4">
                <w:pPr>
                  <w:jc w:val="center"/>
                  <w:rPr>
                    <w:rFonts w:ascii="Calibri"/>
                    <w:color w:val="000000"/>
                  </w:rPr>
                </w:pPr>
                <w:r>
                  <w:rPr>
                    <w:rFonts w:ascii="Calibri"/>
                    <w:color w:val="000000"/>
                  </w:rPr>
                  <w:t>2020</w:t>
                </w:r>
              </w:p>
            </w:tc>
            <w:tc>
              <w:tcPr>
                <w:tcW w:w="50" w:type="pct"/>
                <w:shd w:val="clear" w:color="auto" w:fill="FFFFFF"/>
                <w:noWrap/>
                <w:tcMar>
                  <w:top w:w="15" w:type="dxa"/>
                  <w:left w:w="0" w:type="dxa"/>
                  <w:bottom w:w="0" w:type="dxa"/>
                  <w:right w:w="15" w:type="dxa"/>
                </w:tcMar>
                <w:vAlign w:val="center"/>
              </w:tcPr>
              <w:p w14:paraId="7DFB8787" w14:textId="77777777" w:rsidR="006C4CF4" w:rsidRDefault="006C4CF4">
                <w:pPr>
                  <w:rPr>
                    <w:rFonts w:ascii="Calibri"/>
                    <w:color w:val="000000"/>
                  </w:rPr>
                </w:pPr>
                <w:r>
                  <w:rPr>
                    <w:rFonts w:ascii="Calibri"/>
                    <w:color w:val="000000"/>
                  </w:rPr>
                  <w:t xml:space="preserve"> </w:t>
                </w:r>
              </w:p>
            </w:tc>
            <w:tc>
              <w:tcPr>
                <w:tcW w:w="81" w:type="pct"/>
                <w:tcBorders>
                  <w:top w:val="single" w:sz="2" w:space="0" w:color="000000"/>
                </w:tcBorders>
                <w:shd w:val="clear" w:color="auto" w:fill="FFFFFF"/>
                <w:tcMar>
                  <w:top w:w="15" w:type="dxa"/>
                  <w:left w:w="0" w:type="dxa"/>
                  <w:bottom w:w="0" w:type="dxa"/>
                  <w:right w:w="15" w:type="dxa"/>
                </w:tcMar>
                <w:vAlign w:val="bottom"/>
              </w:tcPr>
              <w:p w14:paraId="358B4F76" w14:textId="77777777" w:rsidR="006C4CF4" w:rsidRDefault="006C4CF4">
                <w:pPr>
                  <w:rPr>
                    <w:rFonts w:ascii="Calibri"/>
                    <w:color w:val="000000"/>
                  </w:rPr>
                </w:pPr>
                <w:r>
                  <w:rPr>
                    <w:rFonts w:ascii="Calibri"/>
                    <w:color w:val="000000"/>
                  </w:rPr>
                  <w:t xml:space="preserve"> </w:t>
                </w:r>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C7440CD" w14:textId="77777777" w:rsidR="006C4CF4" w:rsidRDefault="006C4CF4">
                <w:pPr>
                  <w:jc w:val="center"/>
                  <w:rPr>
                    <w:rFonts w:ascii="Calibri"/>
                    <w:color w:val="000000"/>
                  </w:rPr>
                </w:pPr>
                <w:r>
                  <w:rPr>
                    <w:rFonts w:ascii="Calibri"/>
                    <w:color w:val="000000"/>
                  </w:rPr>
                  <w:t>2019</w:t>
                </w:r>
              </w:p>
            </w:tc>
            <w:tc>
              <w:tcPr>
                <w:tcW w:w="50" w:type="pct"/>
                <w:shd w:val="clear" w:color="auto" w:fill="FFFFFF"/>
                <w:noWrap/>
                <w:tcMar>
                  <w:top w:w="15" w:type="dxa"/>
                  <w:left w:w="0" w:type="dxa"/>
                  <w:bottom w:w="0" w:type="dxa"/>
                  <w:right w:w="15" w:type="dxa"/>
                </w:tcMar>
                <w:vAlign w:val="bottom"/>
              </w:tcPr>
              <w:p w14:paraId="52E6D7A1" w14:textId="77777777" w:rsidR="006C4CF4" w:rsidRDefault="006C4CF4">
                <w:pPr>
                  <w:rPr>
                    <w:rFonts w:ascii="Calibri"/>
                    <w:color w:val="000000"/>
                  </w:rPr>
                </w:pPr>
                <w:r>
                  <w:rPr>
                    <w:rFonts w:ascii="Calibri"/>
                    <w:color w:val="000000"/>
                  </w:rPr>
                  <w:t xml:space="preserve"> </w:t>
                </w:r>
              </w:p>
            </w:tc>
            <w:tc>
              <w:tcPr>
                <w:tcW w:w="81" w:type="pct"/>
                <w:shd w:val="clear" w:color="auto" w:fill="FFFFFF"/>
                <w:tcMar>
                  <w:top w:w="15" w:type="dxa"/>
                  <w:left w:w="0" w:type="dxa"/>
                  <w:bottom w:w="0" w:type="dxa"/>
                  <w:right w:w="15" w:type="dxa"/>
                </w:tcMar>
                <w:vAlign w:val="bottom"/>
              </w:tcPr>
              <w:p w14:paraId="7CEB2F8C" w14:textId="77777777" w:rsidR="006C4CF4" w:rsidRDefault="006C4CF4">
                <w:pPr>
                  <w:rPr>
                    <w:rFonts w:ascii="Calibri"/>
                    <w:color w:val="000000"/>
                  </w:rPr>
                </w:pPr>
                <w:r>
                  <w:rPr>
                    <w:rFonts w:ascii="Calibri"/>
                    <w:color w:val="000000"/>
                  </w:rPr>
                  <w:t xml:space="preserve"> </w:t>
                </w:r>
              </w:p>
            </w:tc>
          </w:tr>
          <w:tr w:rsidR="006C4CF4" w14:paraId="5C256BF7" w14:textId="77777777">
            <w:trPr>
              <w:cantSplit/>
            </w:trPr>
            <w:tc>
              <w:tcPr>
                <w:tcW w:w="3349" w:type="pct"/>
                <w:shd w:val="clear" w:color="auto" w:fill="CCEEFF"/>
                <w:tcMar>
                  <w:top w:w="15" w:type="dxa"/>
                  <w:left w:w="0" w:type="dxa"/>
                  <w:bottom w:w="0" w:type="dxa"/>
                  <w:right w:w="15" w:type="dxa"/>
                </w:tcMar>
                <w:vAlign w:val="center"/>
              </w:tcPr>
              <w:p w14:paraId="4B18158F" w14:textId="77777777" w:rsidR="006C4CF4" w:rsidRDefault="006C4CF4">
                <w:pPr>
                  <w:keepNext/>
                  <w:ind w:left="684"/>
                  <w:rPr>
                    <w:rFonts w:ascii="Calibri"/>
                    <w:color w:val="000000"/>
                  </w:rPr>
                </w:pPr>
                <w:r>
                  <w:rPr>
                    <w:rFonts w:ascii="Calibri"/>
                    <w:color w:val="000000"/>
                  </w:rPr>
                  <w:t>GAAP</w:t>
                </w:r>
              </w:p>
            </w:tc>
            <w:tc>
              <w:tcPr>
                <w:tcW w:w="50" w:type="pct"/>
                <w:tcBorders>
                  <w:top w:val="single" w:sz="2" w:space="0" w:color="000000"/>
                </w:tcBorders>
                <w:shd w:val="clear" w:color="auto" w:fill="CCEEFF"/>
                <w:noWrap/>
                <w:tcMar>
                  <w:top w:w="15" w:type="dxa"/>
                  <w:left w:w="0" w:type="dxa"/>
                  <w:bottom w:w="0" w:type="dxa"/>
                  <w:right w:w="15" w:type="dxa"/>
                </w:tcMar>
                <w:vAlign w:val="center"/>
              </w:tcPr>
              <w:p w14:paraId="75FFED35" w14:textId="77777777" w:rsidR="006C4CF4" w:rsidRDefault="006C4CF4">
                <w:pPr>
                  <w:rPr>
                    <w:color w:val="000000"/>
                    <w:sz w:val="20"/>
                  </w:rPr>
                </w:pPr>
                <w:r>
                  <w:rPr>
                    <w:color w:val="000000"/>
                    <w:sz w:val="20"/>
                  </w:rPr>
                  <w:t xml:space="preserve"> </w:t>
                </w:r>
              </w:p>
            </w:tc>
            <w:tc>
              <w:tcPr>
                <w:tcW w:w="644" w:type="pct"/>
                <w:tcBorders>
                  <w:top w:val="single" w:sz="2" w:space="0" w:color="000000"/>
                </w:tcBorders>
                <w:shd w:val="clear" w:color="auto" w:fill="CCEEFF"/>
                <w:noWrap/>
                <w:tcMar>
                  <w:top w:w="15" w:type="dxa"/>
                  <w:left w:w="0" w:type="dxa"/>
                  <w:bottom w:w="0" w:type="dxa"/>
                  <w:right w:w="15" w:type="dxa"/>
                </w:tcMar>
                <w:vAlign w:val="center"/>
              </w:tcPr>
              <w:p w14:paraId="763BF76C" w14:textId="77777777" w:rsidR="006C4CF4" w:rsidRDefault="006C4CF4">
                <w:pPr>
                  <w:jc w:val="right"/>
                  <w:rPr>
                    <w:color w:val="000000"/>
                    <w:sz w:val="20"/>
                  </w:rPr>
                </w:pPr>
                <w:r>
                  <w:rPr>
                    <w:color w:val="000000"/>
                    <w:sz w:val="20"/>
                  </w:rPr>
                  <w:t>0.19</w:t>
                </w:r>
              </w:p>
            </w:tc>
            <w:tc>
              <w:tcPr>
                <w:tcW w:w="50" w:type="pct"/>
                <w:shd w:val="clear" w:color="auto" w:fill="CCEEFF"/>
                <w:noWrap/>
                <w:tcMar>
                  <w:top w:w="15" w:type="dxa"/>
                  <w:left w:w="0" w:type="dxa"/>
                  <w:bottom w:w="0" w:type="dxa"/>
                  <w:right w:w="15" w:type="dxa"/>
                </w:tcMar>
                <w:vAlign w:val="center"/>
              </w:tcPr>
              <w:p w14:paraId="758FDD19" w14:textId="77777777" w:rsidR="006C4CF4" w:rsidRDefault="006C4CF4">
                <w:pPr>
                  <w:rPr>
                    <w:color w:val="000000"/>
                    <w:sz w:val="20"/>
                  </w:rPr>
                </w:pPr>
                <w:r>
                  <w:rPr>
                    <w:color w:val="000000"/>
                    <w:sz w:val="20"/>
                  </w:rPr>
                  <w:t>%</w:t>
                </w:r>
              </w:p>
            </w:tc>
            <w:tc>
              <w:tcPr>
                <w:tcW w:w="81" w:type="pct"/>
                <w:shd w:val="clear" w:color="auto" w:fill="CCEEFF"/>
                <w:tcMar>
                  <w:top w:w="15" w:type="dxa"/>
                  <w:left w:w="0" w:type="dxa"/>
                  <w:bottom w:w="0" w:type="dxa"/>
                  <w:right w:w="15" w:type="dxa"/>
                </w:tcMar>
                <w:vAlign w:val="center"/>
              </w:tcPr>
              <w:p w14:paraId="2B21F375" w14:textId="77777777" w:rsidR="006C4CF4" w:rsidRDefault="006C4CF4">
                <w:pPr>
                  <w:rPr>
                    <w:color w:val="000000"/>
                    <w:sz w:val="20"/>
                  </w:rPr>
                </w:pPr>
                <w:r>
                  <w:rPr>
                    <w:color w:val="000000"/>
                    <w:sz w:val="20"/>
                  </w:rPr>
                  <w:t xml:space="preserve"> </w:t>
                </w:r>
              </w:p>
            </w:tc>
            <w:tc>
              <w:tcPr>
                <w:tcW w:w="50" w:type="pct"/>
                <w:tcBorders>
                  <w:top w:val="single" w:sz="2" w:space="0" w:color="000000"/>
                </w:tcBorders>
                <w:shd w:val="clear" w:color="auto" w:fill="CCEEFF"/>
                <w:noWrap/>
                <w:tcMar>
                  <w:top w:w="15" w:type="dxa"/>
                  <w:left w:w="0" w:type="dxa"/>
                  <w:bottom w:w="0" w:type="dxa"/>
                  <w:right w:w="15" w:type="dxa"/>
                </w:tcMar>
                <w:vAlign w:val="center"/>
              </w:tcPr>
              <w:p w14:paraId="50858E38" w14:textId="77777777" w:rsidR="006C4CF4" w:rsidRDefault="006C4CF4">
                <w:pPr>
                  <w:rPr>
                    <w:color w:val="000000"/>
                    <w:sz w:val="20"/>
                  </w:rPr>
                </w:pPr>
                <w:r>
                  <w:rPr>
                    <w:color w:val="000000"/>
                    <w:sz w:val="20"/>
                  </w:rPr>
                  <w:t xml:space="preserve"> </w:t>
                </w:r>
              </w:p>
            </w:tc>
            <w:tc>
              <w:tcPr>
                <w:tcW w:w="644" w:type="pct"/>
                <w:tcBorders>
                  <w:top w:val="single" w:sz="2" w:space="0" w:color="000000"/>
                </w:tcBorders>
                <w:shd w:val="clear" w:color="auto" w:fill="CCEEFF"/>
                <w:noWrap/>
                <w:tcMar>
                  <w:top w:w="15" w:type="dxa"/>
                  <w:left w:w="0" w:type="dxa"/>
                  <w:bottom w:w="0" w:type="dxa"/>
                  <w:right w:w="15" w:type="dxa"/>
                </w:tcMar>
                <w:vAlign w:val="center"/>
              </w:tcPr>
              <w:p w14:paraId="2EADD575" w14:textId="77777777" w:rsidR="006C4CF4" w:rsidRDefault="006C4CF4">
                <w:pPr>
                  <w:jc w:val="right"/>
                  <w:rPr>
                    <w:color w:val="000000"/>
                    <w:sz w:val="20"/>
                  </w:rPr>
                </w:pPr>
                <w:r>
                  <w:rPr>
                    <w:color w:val="000000"/>
                    <w:sz w:val="20"/>
                  </w:rPr>
                  <w:t>0.25</w:t>
                </w:r>
              </w:p>
            </w:tc>
            <w:tc>
              <w:tcPr>
                <w:tcW w:w="50" w:type="pct"/>
                <w:shd w:val="clear" w:color="auto" w:fill="CCEEFF"/>
                <w:noWrap/>
                <w:tcMar>
                  <w:top w:w="15" w:type="dxa"/>
                  <w:left w:w="0" w:type="dxa"/>
                  <w:bottom w:w="0" w:type="dxa"/>
                  <w:right w:w="15" w:type="dxa"/>
                </w:tcMar>
                <w:vAlign w:val="center"/>
              </w:tcPr>
              <w:p w14:paraId="5DE2BE8C" w14:textId="77777777" w:rsidR="006C4CF4" w:rsidRDefault="006C4CF4">
                <w:pPr>
                  <w:rPr>
                    <w:color w:val="000000"/>
                    <w:sz w:val="20"/>
                  </w:rPr>
                </w:pPr>
                <w:r>
                  <w:rPr>
                    <w:color w:val="000000"/>
                    <w:sz w:val="20"/>
                  </w:rPr>
                  <w:t>%</w:t>
                </w:r>
              </w:p>
            </w:tc>
            <w:tc>
              <w:tcPr>
                <w:tcW w:w="81" w:type="pct"/>
                <w:shd w:val="clear" w:color="auto" w:fill="CCEEFF"/>
                <w:tcMar>
                  <w:top w:w="15" w:type="dxa"/>
                  <w:left w:w="0" w:type="dxa"/>
                  <w:bottom w:w="0" w:type="dxa"/>
                  <w:right w:w="15" w:type="dxa"/>
                </w:tcMar>
                <w:vAlign w:val="center"/>
              </w:tcPr>
              <w:p w14:paraId="5EB4E0EA" w14:textId="77777777" w:rsidR="006C4CF4" w:rsidRDefault="006C4CF4">
                <w:pPr>
                  <w:rPr>
                    <w:color w:val="000000"/>
                    <w:sz w:val="20"/>
                  </w:rPr>
                </w:pPr>
                <w:r>
                  <w:rPr>
                    <w:color w:val="000000"/>
                    <w:sz w:val="20"/>
                  </w:rPr>
                  <w:t xml:space="preserve"> </w:t>
                </w:r>
              </w:p>
            </w:tc>
          </w:tr>
          <w:tr w:rsidR="006C4CF4" w14:paraId="4C7AA58E" w14:textId="77777777">
            <w:trPr>
              <w:cantSplit/>
            </w:trPr>
            <w:tc>
              <w:tcPr>
                <w:tcW w:w="3349" w:type="pct"/>
                <w:shd w:val="clear" w:color="auto" w:fill="FFFFFF"/>
                <w:tcMar>
                  <w:top w:w="15" w:type="dxa"/>
                  <w:left w:w="0" w:type="dxa"/>
                  <w:bottom w:w="0" w:type="dxa"/>
                  <w:right w:w="15" w:type="dxa"/>
                </w:tcMar>
                <w:vAlign w:val="center"/>
              </w:tcPr>
              <w:p w14:paraId="22ABBF58" w14:textId="77777777" w:rsidR="006C4CF4" w:rsidRDefault="006C4CF4">
                <w:pPr>
                  <w:keepNext/>
                  <w:ind w:left="684"/>
                  <w:rPr>
                    <w:rFonts w:ascii="Calibri"/>
                    <w:color w:val="000000"/>
                  </w:rPr>
                </w:pPr>
                <w:r>
                  <w:rPr>
                    <w:rFonts w:ascii="Calibri"/>
                    <w:color w:val="000000"/>
                  </w:rPr>
                  <w:t>Non-GAAP</w:t>
                </w:r>
              </w:p>
            </w:tc>
            <w:tc>
              <w:tcPr>
                <w:tcW w:w="50" w:type="pct"/>
                <w:shd w:val="clear" w:color="auto" w:fill="FFFFFF"/>
                <w:noWrap/>
                <w:tcMar>
                  <w:top w:w="15" w:type="dxa"/>
                  <w:left w:w="0" w:type="dxa"/>
                  <w:bottom w:w="0" w:type="dxa"/>
                  <w:right w:w="15" w:type="dxa"/>
                </w:tcMar>
                <w:vAlign w:val="center"/>
              </w:tcPr>
              <w:p w14:paraId="31D859ED" w14:textId="77777777" w:rsidR="006C4CF4" w:rsidRDefault="006C4CF4">
                <w:pPr>
                  <w:rPr>
                    <w:color w:val="000000"/>
                    <w:sz w:val="20"/>
                  </w:rPr>
                </w:pPr>
                <w:r>
                  <w:rPr>
                    <w:color w:val="000000"/>
                    <w:sz w:val="20"/>
                  </w:rPr>
                  <w:t xml:space="preserve"> </w:t>
                </w:r>
              </w:p>
            </w:tc>
            <w:tc>
              <w:tcPr>
                <w:tcW w:w="644" w:type="pct"/>
                <w:shd w:val="clear" w:color="auto" w:fill="FFFFFF"/>
                <w:noWrap/>
                <w:tcMar>
                  <w:top w:w="15" w:type="dxa"/>
                  <w:left w:w="0" w:type="dxa"/>
                  <w:bottom w:w="0" w:type="dxa"/>
                  <w:right w:w="15" w:type="dxa"/>
                </w:tcMar>
                <w:vAlign w:val="center"/>
              </w:tcPr>
              <w:p w14:paraId="53FEB376" w14:textId="77777777" w:rsidR="006C4CF4" w:rsidRDefault="006C4CF4">
                <w:pPr>
                  <w:jc w:val="right"/>
                  <w:rPr>
                    <w:color w:val="000000"/>
                    <w:sz w:val="20"/>
                  </w:rPr>
                </w:pPr>
                <w:r>
                  <w:rPr>
                    <w:color w:val="000000"/>
                    <w:sz w:val="20"/>
                  </w:rPr>
                  <w:t>0.55</w:t>
                </w:r>
              </w:p>
            </w:tc>
            <w:tc>
              <w:tcPr>
                <w:tcW w:w="50" w:type="pct"/>
                <w:shd w:val="clear" w:color="auto" w:fill="FFFFFF"/>
                <w:noWrap/>
                <w:tcMar>
                  <w:top w:w="15" w:type="dxa"/>
                  <w:left w:w="0" w:type="dxa"/>
                  <w:bottom w:w="0" w:type="dxa"/>
                  <w:right w:w="15" w:type="dxa"/>
                </w:tcMar>
                <w:vAlign w:val="center"/>
              </w:tcPr>
              <w:p w14:paraId="6D3791F4" w14:textId="77777777" w:rsidR="006C4CF4" w:rsidRDefault="006C4CF4">
                <w:pPr>
                  <w:rPr>
                    <w:color w:val="000000"/>
                    <w:sz w:val="20"/>
                  </w:rPr>
                </w:pPr>
                <w:r>
                  <w:rPr>
                    <w:color w:val="000000"/>
                    <w:sz w:val="20"/>
                  </w:rPr>
                  <w:t>%</w:t>
                </w:r>
              </w:p>
            </w:tc>
            <w:tc>
              <w:tcPr>
                <w:tcW w:w="81" w:type="pct"/>
                <w:shd w:val="clear" w:color="auto" w:fill="FFFFFF"/>
                <w:tcMar>
                  <w:top w:w="15" w:type="dxa"/>
                  <w:left w:w="0" w:type="dxa"/>
                  <w:bottom w:w="0" w:type="dxa"/>
                  <w:right w:w="15" w:type="dxa"/>
                </w:tcMar>
                <w:vAlign w:val="center"/>
              </w:tcPr>
              <w:p w14:paraId="07E7208D" w14:textId="77777777" w:rsidR="006C4CF4" w:rsidRDefault="006C4CF4">
                <w:pPr>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center"/>
              </w:tcPr>
              <w:p w14:paraId="48D86BB5" w14:textId="77777777" w:rsidR="006C4CF4" w:rsidRDefault="006C4CF4">
                <w:pPr>
                  <w:rPr>
                    <w:color w:val="000000"/>
                    <w:sz w:val="20"/>
                  </w:rPr>
                </w:pPr>
                <w:r>
                  <w:rPr>
                    <w:color w:val="000000"/>
                    <w:sz w:val="20"/>
                  </w:rPr>
                  <w:t xml:space="preserve"> </w:t>
                </w:r>
              </w:p>
            </w:tc>
            <w:tc>
              <w:tcPr>
                <w:tcW w:w="644" w:type="pct"/>
                <w:shd w:val="clear" w:color="auto" w:fill="FFFFFF"/>
                <w:noWrap/>
                <w:tcMar>
                  <w:top w:w="15" w:type="dxa"/>
                  <w:left w:w="0" w:type="dxa"/>
                  <w:bottom w:w="0" w:type="dxa"/>
                  <w:right w:w="15" w:type="dxa"/>
                </w:tcMar>
                <w:vAlign w:val="center"/>
              </w:tcPr>
              <w:p w14:paraId="31A8D838" w14:textId="77777777" w:rsidR="006C4CF4" w:rsidRDefault="006C4CF4">
                <w:pPr>
                  <w:jc w:val="right"/>
                  <w:rPr>
                    <w:color w:val="000000"/>
                    <w:sz w:val="20"/>
                  </w:rPr>
                </w:pPr>
                <w:r>
                  <w:rPr>
                    <w:color w:val="000000"/>
                    <w:sz w:val="20"/>
                  </w:rPr>
                  <w:t>0.25</w:t>
                </w:r>
              </w:p>
            </w:tc>
            <w:tc>
              <w:tcPr>
                <w:tcW w:w="50" w:type="pct"/>
                <w:shd w:val="clear" w:color="auto" w:fill="FFFFFF"/>
                <w:noWrap/>
                <w:tcMar>
                  <w:top w:w="15" w:type="dxa"/>
                  <w:left w:w="0" w:type="dxa"/>
                  <w:bottom w:w="0" w:type="dxa"/>
                  <w:right w:w="15" w:type="dxa"/>
                </w:tcMar>
                <w:vAlign w:val="center"/>
              </w:tcPr>
              <w:p w14:paraId="357BB18A" w14:textId="77777777" w:rsidR="006C4CF4" w:rsidRDefault="006C4CF4">
                <w:pPr>
                  <w:rPr>
                    <w:color w:val="000000"/>
                    <w:sz w:val="20"/>
                  </w:rPr>
                </w:pPr>
                <w:r>
                  <w:rPr>
                    <w:color w:val="000000"/>
                    <w:sz w:val="20"/>
                  </w:rPr>
                  <w:t>%</w:t>
                </w:r>
              </w:p>
            </w:tc>
            <w:tc>
              <w:tcPr>
                <w:tcW w:w="81" w:type="pct"/>
                <w:shd w:val="clear" w:color="auto" w:fill="FFFFFF"/>
                <w:tcMar>
                  <w:top w:w="15" w:type="dxa"/>
                  <w:left w:w="0" w:type="dxa"/>
                  <w:bottom w:w="0" w:type="dxa"/>
                  <w:right w:w="15" w:type="dxa"/>
                </w:tcMar>
                <w:vAlign w:val="center"/>
              </w:tcPr>
              <w:p w14:paraId="6556C2C3" w14:textId="77777777" w:rsidR="006C4CF4" w:rsidRDefault="006C4CF4">
                <w:pPr>
                  <w:rPr>
                    <w:color w:val="000000"/>
                    <w:sz w:val="20"/>
                  </w:rPr>
                </w:pPr>
                <w:r>
                  <w:rPr>
                    <w:color w:val="000000"/>
                    <w:sz w:val="20"/>
                  </w:rPr>
                  <w:t xml:space="preserve"> </w:t>
                </w:r>
              </w:p>
            </w:tc>
          </w:tr>
          <w:tr w:rsidR="006C4CF4" w14:paraId="16BDD927" w14:textId="77777777">
            <w:trPr>
              <w:cantSplit/>
            </w:trPr>
            <w:tc>
              <w:tcPr>
                <w:tcW w:w="3349" w:type="pct"/>
                <w:shd w:val="clear" w:color="auto" w:fill="CCEEFF"/>
                <w:tcMar>
                  <w:top w:w="15" w:type="dxa"/>
                  <w:left w:w="0" w:type="dxa"/>
                  <w:bottom w:w="0" w:type="dxa"/>
                  <w:right w:w="15" w:type="dxa"/>
                </w:tcMar>
                <w:vAlign w:val="center"/>
              </w:tcPr>
              <w:p w14:paraId="182E15F3" w14:textId="77777777" w:rsidR="006C4CF4" w:rsidRDefault="006C4CF4">
                <w:pPr>
                  <w:keepNext/>
                  <w:ind w:left="137"/>
                  <w:rPr>
                    <w:rFonts w:ascii="Calibri"/>
                    <w:color w:val="000000"/>
                  </w:rPr>
                </w:pPr>
                <w:r>
                  <w:rPr>
                    <w:rFonts w:ascii="Calibri"/>
                    <w:color w:val="000000"/>
                  </w:rPr>
                  <w:t>Return on average equity (annualized):</w:t>
                </w:r>
              </w:p>
            </w:tc>
            <w:tc>
              <w:tcPr>
                <w:tcW w:w="50" w:type="pct"/>
                <w:shd w:val="clear" w:color="auto" w:fill="CCEEFF"/>
                <w:noWrap/>
                <w:tcMar>
                  <w:top w:w="15" w:type="dxa"/>
                  <w:left w:w="0" w:type="dxa"/>
                  <w:bottom w:w="0" w:type="dxa"/>
                  <w:right w:w="15" w:type="dxa"/>
                </w:tcMar>
                <w:vAlign w:val="center"/>
              </w:tcPr>
              <w:p w14:paraId="3B0CCB31" w14:textId="77777777" w:rsidR="006C4CF4" w:rsidRDefault="006C4CF4">
                <w:pPr>
                  <w:rPr>
                    <w:color w:val="000000"/>
                    <w:sz w:val="20"/>
                  </w:rPr>
                </w:pPr>
                <w:r>
                  <w:rPr>
                    <w:color w:val="000000"/>
                    <w:sz w:val="20"/>
                  </w:rPr>
                  <w:t xml:space="preserve"> </w:t>
                </w:r>
              </w:p>
            </w:tc>
            <w:tc>
              <w:tcPr>
                <w:tcW w:w="644" w:type="pct"/>
                <w:shd w:val="clear" w:color="auto" w:fill="CCEEFF"/>
                <w:noWrap/>
                <w:tcMar>
                  <w:top w:w="15" w:type="dxa"/>
                  <w:left w:w="0" w:type="dxa"/>
                  <w:bottom w:w="0" w:type="dxa"/>
                  <w:right w:w="15" w:type="dxa"/>
                </w:tcMar>
                <w:vAlign w:val="center"/>
              </w:tcPr>
              <w:p w14:paraId="74DBEE50" w14:textId="77777777" w:rsidR="006C4CF4" w:rsidRDefault="006C4CF4">
                <w:pPr>
                  <w:rPr>
                    <w:color w:val="000000"/>
                    <w:sz w:val="20"/>
                  </w:rPr>
                </w:pPr>
                <w:r>
                  <w:rPr>
                    <w:color w:val="000000"/>
                    <w:sz w:val="20"/>
                  </w:rPr>
                  <w:t xml:space="preserve"> </w:t>
                </w:r>
              </w:p>
            </w:tc>
            <w:tc>
              <w:tcPr>
                <w:tcW w:w="50" w:type="pct"/>
                <w:shd w:val="clear" w:color="auto" w:fill="CCEEFF"/>
                <w:noWrap/>
                <w:tcMar>
                  <w:top w:w="15" w:type="dxa"/>
                  <w:left w:w="0" w:type="dxa"/>
                  <w:bottom w:w="0" w:type="dxa"/>
                  <w:right w:w="15" w:type="dxa"/>
                </w:tcMar>
                <w:vAlign w:val="center"/>
              </w:tcPr>
              <w:p w14:paraId="34527943" w14:textId="77777777" w:rsidR="006C4CF4" w:rsidRDefault="006C4CF4">
                <w:pPr>
                  <w:rPr>
                    <w:color w:val="000000"/>
                    <w:sz w:val="20"/>
                  </w:rPr>
                </w:pPr>
                <w:r>
                  <w:rPr>
                    <w:color w:val="000000"/>
                    <w:sz w:val="20"/>
                  </w:rPr>
                  <w:t xml:space="preserve"> </w:t>
                </w:r>
              </w:p>
            </w:tc>
            <w:tc>
              <w:tcPr>
                <w:tcW w:w="81" w:type="pct"/>
                <w:shd w:val="clear" w:color="auto" w:fill="CCEEFF"/>
                <w:tcMar>
                  <w:top w:w="15" w:type="dxa"/>
                  <w:left w:w="0" w:type="dxa"/>
                  <w:bottom w:w="0" w:type="dxa"/>
                  <w:right w:w="15" w:type="dxa"/>
                </w:tcMar>
                <w:vAlign w:val="bottom"/>
              </w:tcPr>
              <w:p w14:paraId="5B02BF1A" w14:textId="77777777" w:rsidR="006C4CF4" w:rsidRDefault="006C4CF4">
                <w:pPr>
                  <w:rPr>
                    <w:color w:val="000000"/>
                  </w:rPr>
                </w:pPr>
                <w:r>
                  <w:rPr>
                    <w:color w:val="000000"/>
                  </w:rPr>
                  <w:t xml:space="preserve"> </w:t>
                </w:r>
              </w:p>
            </w:tc>
            <w:tc>
              <w:tcPr>
                <w:tcW w:w="50" w:type="pct"/>
                <w:shd w:val="clear" w:color="auto" w:fill="CCEEFF"/>
                <w:noWrap/>
                <w:tcMar>
                  <w:top w:w="15" w:type="dxa"/>
                  <w:left w:w="0" w:type="dxa"/>
                  <w:bottom w:w="0" w:type="dxa"/>
                  <w:right w:w="15" w:type="dxa"/>
                </w:tcMar>
                <w:vAlign w:val="bottom"/>
              </w:tcPr>
              <w:p w14:paraId="136A3864" w14:textId="77777777" w:rsidR="006C4CF4" w:rsidRDefault="006C4CF4">
                <w:pPr>
                  <w:rPr>
                    <w:color w:val="000000"/>
                  </w:rPr>
                </w:pPr>
                <w:r>
                  <w:rPr>
                    <w:color w:val="000000"/>
                  </w:rPr>
                  <w:t xml:space="preserve"> </w:t>
                </w:r>
              </w:p>
            </w:tc>
            <w:tc>
              <w:tcPr>
                <w:tcW w:w="644" w:type="pct"/>
                <w:shd w:val="clear" w:color="auto" w:fill="CCEEFF"/>
                <w:noWrap/>
                <w:tcMar>
                  <w:top w:w="15" w:type="dxa"/>
                  <w:left w:w="0" w:type="dxa"/>
                  <w:bottom w:w="0" w:type="dxa"/>
                  <w:right w:w="15" w:type="dxa"/>
                </w:tcMar>
                <w:vAlign w:val="bottom"/>
              </w:tcPr>
              <w:p w14:paraId="6D02160A" w14:textId="77777777" w:rsidR="006C4CF4" w:rsidRDefault="006C4CF4">
                <w:pPr>
                  <w:rPr>
                    <w:color w:val="000000"/>
                  </w:rPr>
                </w:pPr>
                <w:r>
                  <w:rPr>
                    <w:color w:val="000000"/>
                  </w:rPr>
                  <w:t xml:space="preserve"> </w:t>
                </w:r>
              </w:p>
            </w:tc>
            <w:tc>
              <w:tcPr>
                <w:tcW w:w="50" w:type="pct"/>
                <w:shd w:val="clear" w:color="auto" w:fill="CCEEFF"/>
                <w:noWrap/>
                <w:tcMar>
                  <w:top w:w="15" w:type="dxa"/>
                  <w:left w:w="0" w:type="dxa"/>
                  <w:bottom w:w="0" w:type="dxa"/>
                  <w:right w:w="15" w:type="dxa"/>
                </w:tcMar>
                <w:vAlign w:val="bottom"/>
              </w:tcPr>
              <w:p w14:paraId="041462F1" w14:textId="77777777" w:rsidR="006C4CF4" w:rsidRDefault="006C4CF4">
                <w:pPr>
                  <w:rPr>
                    <w:color w:val="000000"/>
                  </w:rPr>
                </w:pPr>
                <w:r>
                  <w:rPr>
                    <w:color w:val="000000"/>
                  </w:rPr>
                  <w:t xml:space="preserve"> </w:t>
                </w:r>
              </w:p>
            </w:tc>
            <w:tc>
              <w:tcPr>
                <w:tcW w:w="81" w:type="pct"/>
                <w:shd w:val="clear" w:color="auto" w:fill="CCEEFF"/>
                <w:tcMar>
                  <w:top w:w="15" w:type="dxa"/>
                  <w:left w:w="0" w:type="dxa"/>
                  <w:bottom w:w="0" w:type="dxa"/>
                  <w:right w:w="15" w:type="dxa"/>
                </w:tcMar>
                <w:vAlign w:val="bottom"/>
              </w:tcPr>
              <w:p w14:paraId="1D245AD8" w14:textId="77777777" w:rsidR="006C4CF4" w:rsidRDefault="006C4CF4">
                <w:pPr>
                  <w:rPr>
                    <w:color w:val="000000"/>
                  </w:rPr>
                </w:pPr>
                <w:r>
                  <w:rPr>
                    <w:color w:val="000000"/>
                  </w:rPr>
                  <w:t xml:space="preserve"> </w:t>
                </w:r>
              </w:p>
            </w:tc>
          </w:tr>
          <w:tr w:rsidR="006C4CF4" w14:paraId="7CF08392" w14:textId="77777777">
            <w:trPr>
              <w:cantSplit/>
            </w:trPr>
            <w:tc>
              <w:tcPr>
                <w:tcW w:w="3349" w:type="pct"/>
                <w:shd w:val="clear" w:color="auto" w:fill="FFFFFF"/>
                <w:tcMar>
                  <w:top w:w="15" w:type="dxa"/>
                  <w:left w:w="0" w:type="dxa"/>
                  <w:bottom w:w="0" w:type="dxa"/>
                  <w:right w:w="15" w:type="dxa"/>
                </w:tcMar>
                <w:vAlign w:val="center"/>
              </w:tcPr>
              <w:p w14:paraId="0C4067FD" w14:textId="77777777" w:rsidR="006C4CF4" w:rsidRDefault="006C4CF4">
                <w:pPr>
                  <w:keepNext/>
                  <w:ind w:left="684"/>
                  <w:rPr>
                    <w:rFonts w:ascii="Calibri"/>
                    <w:color w:val="000000"/>
                  </w:rPr>
                </w:pPr>
                <w:r>
                  <w:rPr>
                    <w:rFonts w:ascii="Calibri"/>
                    <w:color w:val="000000"/>
                  </w:rPr>
                  <w:t>GAAP</w:t>
                </w:r>
              </w:p>
            </w:tc>
            <w:tc>
              <w:tcPr>
                <w:tcW w:w="50" w:type="pct"/>
                <w:shd w:val="clear" w:color="auto" w:fill="FFFFFF"/>
                <w:noWrap/>
                <w:tcMar>
                  <w:top w:w="15" w:type="dxa"/>
                  <w:left w:w="0" w:type="dxa"/>
                  <w:bottom w:w="0" w:type="dxa"/>
                  <w:right w:w="15" w:type="dxa"/>
                </w:tcMar>
                <w:vAlign w:val="center"/>
              </w:tcPr>
              <w:p w14:paraId="1DE21EF1" w14:textId="77777777" w:rsidR="006C4CF4" w:rsidRDefault="006C4CF4">
                <w:pPr>
                  <w:rPr>
                    <w:color w:val="000000"/>
                    <w:sz w:val="20"/>
                  </w:rPr>
                </w:pPr>
                <w:r>
                  <w:rPr>
                    <w:color w:val="000000"/>
                    <w:sz w:val="20"/>
                  </w:rPr>
                  <w:t xml:space="preserve"> </w:t>
                </w:r>
              </w:p>
            </w:tc>
            <w:tc>
              <w:tcPr>
                <w:tcW w:w="644" w:type="pct"/>
                <w:shd w:val="clear" w:color="auto" w:fill="FFFFFF"/>
                <w:noWrap/>
                <w:tcMar>
                  <w:top w:w="15" w:type="dxa"/>
                  <w:left w:w="0" w:type="dxa"/>
                  <w:bottom w:w="0" w:type="dxa"/>
                  <w:right w:w="15" w:type="dxa"/>
                </w:tcMar>
                <w:vAlign w:val="center"/>
              </w:tcPr>
              <w:p w14:paraId="06C9C8B7" w14:textId="77777777" w:rsidR="006C4CF4" w:rsidRDefault="006C4CF4">
                <w:pPr>
                  <w:jc w:val="right"/>
                  <w:rPr>
                    <w:color w:val="000000"/>
                    <w:sz w:val="20"/>
                  </w:rPr>
                </w:pPr>
                <w:r>
                  <w:rPr>
                    <w:color w:val="000000"/>
                    <w:sz w:val="20"/>
                  </w:rPr>
                  <w:t>1.11</w:t>
                </w:r>
              </w:p>
            </w:tc>
            <w:tc>
              <w:tcPr>
                <w:tcW w:w="50" w:type="pct"/>
                <w:shd w:val="clear" w:color="auto" w:fill="FFFFFF"/>
                <w:noWrap/>
                <w:tcMar>
                  <w:top w:w="15" w:type="dxa"/>
                  <w:left w:w="0" w:type="dxa"/>
                  <w:bottom w:w="0" w:type="dxa"/>
                  <w:right w:w="15" w:type="dxa"/>
                </w:tcMar>
                <w:vAlign w:val="center"/>
              </w:tcPr>
              <w:p w14:paraId="0625BAB3" w14:textId="77777777" w:rsidR="006C4CF4" w:rsidRDefault="006C4CF4">
                <w:pPr>
                  <w:rPr>
                    <w:color w:val="000000"/>
                    <w:sz w:val="20"/>
                  </w:rPr>
                </w:pPr>
                <w:r>
                  <w:rPr>
                    <w:color w:val="000000"/>
                    <w:sz w:val="20"/>
                  </w:rPr>
                  <w:t>%</w:t>
                </w:r>
              </w:p>
            </w:tc>
            <w:tc>
              <w:tcPr>
                <w:tcW w:w="81" w:type="pct"/>
                <w:shd w:val="clear" w:color="auto" w:fill="FFFFFF"/>
                <w:tcMar>
                  <w:top w:w="15" w:type="dxa"/>
                  <w:left w:w="0" w:type="dxa"/>
                  <w:bottom w:w="0" w:type="dxa"/>
                  <w:right w:w="15" w:type="dxa"/>
                </w:tcMar>
                <w:vAlign w:val="center"/>
              </w:tcPr>
              <w:p w14:paraId="70780A90" w14:textId="77777777" w:rsidR="006C4CF4" w:rsidRDefault="006C4CF4">
                <w:pPr>
                  <w:rPr>
                    <w:color w:val="000000"/>
                    <w:sz w:val="20"/>
                  </w:rPr>
                </w:pPr>
                <w:r>
                  <w:rPr>
                    <w:color w:val="000000"/>
                    <w:sz w:val="20"/>
                  </w:rPr>
                  <w:t xml:space="preserve"> </w:t>
                </w:r>
              </w:p>
            </w:tc>
            <w:tc>
              <w:tcPr>
                <w:tcW w:w="50" w:type="pct"/>
                <w:shd w:val="clear" w:color="auto" w:fill="FFFFFF"/>
                <w:noWrap/>
                <w:tcMar>
                  <w:top w:w="15" w:type="dxa"/>
                  <w:left w:w="0" w:type="dxa"/>
                  <w:bottom w:w="0" w:type="dxa"/>
                  <w:right w:w="15" w:type="dxa"/>
                </w:tcMar>
                <w:vAlign w:val="center"/>
              </w:tcPr>
              <w:p w14:paraId="483A3697" w14:textId="77777777" w:rsidR="006C4CF4" w:rsidRDefault="006C4CF4">
                <w:pPr>
                  <w:rPr>
                    <w:color w:val="000000"/>
                    <w:sz w:val="20"/>
                  </w:rPr>
                </w:pPr>
                <w:r>
                  <w:rPr>
                    <w:color w:val="000000"/>
                    <w:sz w:val="20"/>
                  </w:rPr>
                  <w:t xml:space="preserve"> </w:t>
                </w:r>
              </w:p>
            </w:tc>
            <w:tc>
              <w:tcPr>
                <w:tcW w:w="644" w:type="pct"/>
                <w:shd w:val="clear" w:color="auto" w:fill="FFFFFF"/>
                <w:noWrap/>
                <w:tcMar>
                  <w:top w:w="15" w:type="dxa"/>
                  <w:left w:w="0" w:type="dxa"/>
                  <w:bottom w:w="0" w:type="dxa"/>
                  <w:right w:w="15" w:type="dxa"/>
                </w:tcMar>
                <w:vAlign w:val="center"/>
              </w:tcPr>
              <w:p w14:paraId="7C4D177E" w14:textId="77777777" w:rsidR="006C4CF4" w:rsidRDefault="006C4CF4">
                <w:pPr>
                  <w:jc w:val="right"/>
                  <w:rPr>
                    <w:color w:val="000000"/>
                    <w:sz w:val="20"/>
                  </w:rPr>
                </w:pPr>
                <w:r>
                  <w:rPr>
                    <w:color w:val="000000"/>
                    <w:sz w:val="20"/>
                  </w:rPr>
                  <w:t>2.25</w:t>
                </w:r>
              </w:p>
            </w:tc>
            <w:tc>
              <w:tcPr>
                <w:tcW w:w="50" w:type="pct"/>
                <w:shd w:val="clear" w:color="auto" w:fill="FFFFFF"/>
                <w:noWrap/>
                <w:tcMar>
                  <w:top w:w="15" w:type="dxa"/>
                  <w:left w:w="0" w:type="dxa"/>
                  <w:bottom w:w="0" w:type="dxa"/>
                  <w:right w:w="15" w:type="dxa"/>
                </w:tcMar>
                <w:vAlign w:val="center"/>
              </w:tcPr>
              <w:p w14:paraId="348B3868" w14:textId="77777777" w:rsidR="006C4CF4" w:rsidRDefault="006C4CF4">
                <w:pPr>
                  <w:rPr>
                    <w:color w:val="000000"/>
                    <w:sz w:val="20"/>
                  </w:rPr>
                </w:pPr>
                <w:r>
                  <w:rPr>
                    <w:color w:val="000000"/>
                    <w:sz w:val="20"/>
                  </w:rPr>
                  <w:t>%</w:t>
                </w:r>
              </w:p>
            </w:tc>
            <w:tc>
              <w:tcPr>
                <w:tcW w:w="81" w:type="pct"/>
                <w:shd w:val="clear" w:color="auto" w:fill="FFFFFF"/>
                <w:tcMar>
                  <w:top w:w="15" w:type="dxa"/>
                  <w:left w:w="0" w:type="dxa"/>
                  <w:bottom w:w="0" w:type="dxa"/>
                  <w:right w:w="15" w:type="dxa"/>
                </w:tcMar>
                <w:vAlign w:val="center"/>
              </w:tcPr>
              <w:p w14:paraId="5BFFBC88" w14:textId="77777777" w:rsidR="006C4CF4" w:rsidRDefault="006C4CF4">
                <w:pPr>
                  <w:rPr>
                    <w:color w:val="000000"/>
                    <w:sz w:val="20"/>
                  </w:rPr>
                </w:pPr>
                <w:r>
                  <w:rPr>
                    <w:color w:val="000000"/>
                    <w:sz w:val="20"/>
                  </w:rPr>
                  <w:t xml:space="preserve"> </w:t>
                </w:r>
              </w:p>
            </w:tc>
          </w:tr>
          <w:tr w:rsidR="006C4CF4" w14:paraId="6E95ED23" w14:textId="77777777">
            <w:trPr>
              <w:cantSplit/>
            </w:trPr>
            <w:tc>
              <w:tcPr>
                <w:tcW w:w="3349" w:type="pct"/>
                <w:shd w:val="clear" w:color="auto" w:fill="CCEEFF"/>
                <w:tcMar>
                  <w:top w:w="15" w:type="dxa"/>
                  <w:left w:w="0" w:type="dxa"/>
                  <w:bottom w:w="0" w:type="dxa"/>
                  <w:right w:w="15" w:type="dxa"/>
                </w:tcMar>
                <w:vAlign w:val="center"/>
              </w:tcPr>
              <w:p w14:paraId="773658A6" w14:textId="77777777" w:rsidR="006C4CF4" w:rsidRDefault="006C4CF4">
                <w:pPr>
                  <w:ind w:left="684"/>
                  <w:rPr>
                    <w:rFonts w:ascii="Calibri"/>
                    <w:color w:val="000000"/>
                  </w:rPr>
                </w:pPr>
                <w:r>
                  <w:rPr>
                    <w:rFonts w:ascii="Calibri"/>
                    <w:color w:val="000000"/>
                  </w:rPr>
                  <w:t>Non-GAAP</w:t>
                </w:r>
              </w:p>
            </w:tc>
            <w:tc>
              <w:tcPr>
                <w:tcW w:w="50" w:type="pct"/>
                <w:shd w:val="clear" w:color="auto" w:fill="CCEEFF"/>
                <w:noWrap/>
                <w:tcMar>
                  <w:top w:w="15" w:type="dxa"/>
                  <w:left w:w="0" w:type="dxa"/>
                  <w:bottom w:w="0" w:type="dxa"/>
                  <w:right w:w="15" w:type="dxa"/>
                </w:tcMar>
                <w:vAlign w:val="center"/>
              </w:tcPr>
              <w:p w14:paraId="7AF3CD31" w14:textId="77777777" w:rsidR="006C4CF4" w:rsidRDefault="006C4CF4">
                <w:pPr>
                  <w:rPr>
                    <w:color w:val="000000"/>
                    <w:sz w:val="20"/>
                  </w:rPr>
                </w:pPr>
                <w:r>
                  <w:rPr>
                    <w:color w:val="000000"/>
                    <w:sz w:val="20"/>
                  </w:rPr>
                  <w:t xml:space="preserve"> </w:t>
                </w:r>
              </w:p>
            </w:tc>
            <w:tc>
              <w:tcPr>
                <w:tcW w:w="644" w:type="pct"/>
                <w:shd w:val="clear" w:color="auto" w:fill="CCEEFF"/>
                <w:noWrap/>
                <w:tcMar>
                  <w:top w:w="15" w:type="dxa"/>
                  <w:left w:w="0" w:type="dxa"/>
                  <w:bottom w:w="0" w:type="dxa"/>
                  <w:right w:w="15" w:type="dxa"/>
                </w:tcMar>
                <w:vAlign w:val="center"/>
              </w:tcPr>
              <w:p w14:paraId="7613B86C" w14:textId="77777777" w:rsidR="006C4CF4" w:rsidRDefault="006C4CF4">
                <w:pPr>
                  <w:jc w:val="right"/>
                  <w:rPr>
                    <w:color w:val="000000"/>
                    <w:sz w:val="20"/>
                  </w:rPr>
                </w:pPr>
                <w:r>
                  <w:rPr>
                    <w:color w:val="000000"/>
                    <w:sz w:val="20"/>
                  </w:rPr>
                  <w:t>3.25</w:t>
                </w:r>
              </w:p>
            </w:tc>
            <w:tc>
              <w:tcPr>
                <w:tcW w:w="50" w:type="pct"/>
                <w:shd w:val="clear" w:color="auto" w:fill="CCEEFF"/>
                <w:noWrap/>
                <w:tcMar>
                  <w:top w:w="15" w:type="dxa"/>
                  <w:left w:w="0" w:type="dxa"/>
                  <w:bottom w:w="0" w:type="dxa"/>
                  <w:right w:w="15" w:type="dxa"/>
                </w:tcMar>
                <w:vAlign w:val="center"/>
              </w:tcPr>
              <w:p w14:paraId="6D970F87" w14:textId="77777777" w:rsidR="006C4CF4" w:rsidRDefault="006C4CF4">
                <w:pPr>
                  <w:rPr>
                    <w:color w:val="000000"/>
                    <w:sz w:val="20"/>
                  </w:rPr>
                </w:pPr>
                <w:r>
                  <w:rPr>
                    <w:color w:val="000000"/>
                    <w:sz w:val="20"/>
                  </w:rPr>
                  <w:t>%</w:t>
                </w:r>
              </w:p>
            </w:tc>
            <w:tc>
              <w:tcPr>
                <w:tcW w:w="81" w:type="pct"/>
                <w:shd w:val="clear" w:color="auto" w:fill="CCEEFF"/>
                <w:tcMar>
                  <w:top w:w="15" w:type="dxa"/>
                  <w:left w:w="0" w:type="dxa"/>
                  <w:bottom w:w="0" w:type="dxa"/>
                  <w:right w:w="15" w:type="dxa"/>
                </w:tcMar>
                <w:vAlign w:val="center"/>
              </w:tcPr>
              <w:p w14:paraId="573B9777" w14:textId="77777777" w:rsidR="006C4CF4" w:rsidRDefault="006C4CF4">
                <w:pPr>
                  <w:rPr>
                    <w:color w:val="000000"/>
                    <w:sz w:val="20"/>
                  </w:rPr>
                </w:pPr>
                <w:r>
                  <w:rPr>
                    <w:color w:val="000000"/>
                    <w:sz w:val="20"/>
                  </w:rPr>
                  <w:t xml:space="preserve"> </w:t>
                </w:r>
              </w:p>
            </w:tc>
            <w:tc>
              <w:tcPr>
                <w:tcW w:w="50" w:type="pct"/>
                <w:shd w:val="clear" w:color="auto" w:fill="CCEEFF"/>
                <w:noWrap/>
                <w:tcMar>
                  <w:top w:w="15" w:type="dxa"/>
                  <w:left w:w="0" w:type="dxa"/>
                  <w:bottom w:w="0" w:type="dxa"/>
                  <w:right w:w="15" w:type="dxa"/>
                </w:tcMar>
                <w:vAlign w:val="center"/>
              </w:tcPr>
              <w:p w14:paraId="242E9FF3" w14:textId="77777777" w:rsidR="006C4CF4" w:rsidRDefault="006C4CF4">
                <w:pPr>
                  <w:rPr>
                    <w:color w:val="000000"/>
                    <w:sz w:val="20"/>
                  </w:rPr>
                </w:pPr>
                <w:r>
                  <w:rPr>
                    <w:color w:val="000000"/>
                    <w:sz w:val="20"/>
                  </w:rPr>
                  <w:t xml:space="preserve"> </w:t>
                </w:r>
              </w:p>
            </w:tc>
            <w:tc>
              <w:tcPr>
                <w:tcW w:w="644" w:type="pct"/>
                <w:shd w:val="clear" w:color="auto" w:fill="CCEEFF"/>
                <w:noWrap/>
                <w:tcMar>
                  <w:top w:w="15" w:type="dxa"/>
                  <w:left w:w="0" w:type="dxa"/>
                  <w:bottom w:w="0" w:type="dxa"/>
                  <w:right w:w="15" w:type="dxa"/>
                </w:tcMar>
                <w:vAlign w:val="center"/>
              </w:tcPr>
              <w:p w14:paraId="2BBB0073" w14:textId="77777777" w:rsidR="006C4CF4" w:rsidRDefault="006C4CF4">
                <w:pPr>
                  <w:jc w:val="right"/>
                  <w:rPr>
                    <w:color w:val="000000"/>
                    <w:sz w:val="20"/>
                  </w:rPr>
                </w:pPr>
                <w:r>
                  <w:rPr>
                    <w:color w:val="000000"/>
                    <w:sz w:val="20"/>
                  </w:rPr>
                  <w:t>2.25</w:t>
                </w:r>
              </w:p>
            </w:tc>
            <w:tc>
              <w:tcPr>
                <w:tcW w:w="50" w:type="pct"/>
                <w:shd w:val="clear" w:color="auto" w:fill="CCEEFF"/>
                <w:noWrap/>
                <w:tcMar>
                  <w:top w:w="15" w:type="dxa"/>
                  <w:left w:w="0" w:type="dxa"/>
                  <w:bottom w:w="0" w:type="dxa"/>
                  <w:right w:w="15" w:type="dxa"/>
                </w:tcMar>
                <w:vAlign w:val="center"/>
              </w:tcPr>
              <w:p w14:paraId="400D0715" w14:textId="77777777" w:rsidR="006C4CF4" w:rsidRDefault="006C4CF4">
                <w:pPr>
                  <w:rPr>
                    <w:color w:val="000000"/>
                    <w:sz w:val="20"/>
                  </w:rPr>
                </w:pPr>
                <w:r>
                  <w:rPr>
                    <w:color w:val="000000"/>
                    <w:sz w:val="20"/>
                  </w:rPr>
                  <w:t>%</w:t>
                </w:r>
              </w:p>
            </w:tc>
            <w:tc>
              <w:tcPr>
                <w:tcW w:w="81" w:type="pct"/>
                <w:shd w:val="clear" w:color="auto" w:fill="CCEEFF"/>
                <w:tcMar>
                  <w:top w:w="15" w:type="dxa"/>
                  <w:left w:w="0" w:type="dxa"/>
                  <w:bottom w:w="0" w:type="dxa"/>
                  <w:right w:w="15" w:type="dxa"/>
                </w:tcMar>
                <w:vAlign w:val="center"/>
              </w:tcPr>
              <w:p w14:paraId="4ED57929" w14:textId="23D7DE80" w:rsidR="006C4CF4" w:rsidRDefault="006C4CF4">
                <w:pPr>
                  <w:rPr>
                    <w:color w:val="000000"/>
                    <w:sz w:val="20"/>
                  </w:rPr>
                </w:pPr>
                <w:r>
                  <w:rPr>
                    <w:color w:val="000000"/>
                    <w:sz w:val="20"/>
                  </w:rPr>
                  <w:t xml:space="preserve"> </w:t>
                </w:r>
              </w:p>
            </w:tc>
          </w:tr>
        </w:tbl>
      </w:sdtContent>
    </w:sdt>
    <w:p w14:paraId="61D9C311" w14:textId="053120AE" w:rsidR="003F7440" w:rsidRDefault="00255B5D" w:rsidP="001C1436">
      <w:pPr>
        <w:ind w:left="720" w:hanging="720"/>
        <w:rPr>
          <w:rFonts w:asciiTheme="minorHAnsi" w:hAnsiTheme="minorHAnsi"/>
          <w:sz w:val="18"/>
        </w:rPr>
      </w:pPr>
      <w:r>
        <w:rPr>
          <w:rFonts w:asciiTheme="minorHAnsi" w:hAnsiTheme="minorHAnsi"/>
          <w:sz w:val="18"/>
        </w:rPr>
        <w:t>Contacts</w:t>
      </w:r>
    </w:p>
    <w:p w14:paraId="4E343233" w14:textId="7E9DFD0E" w:rsidR="00255B5D" w:rsidRPr="00F76E29" w:rsidRDefault="00255B5D" w:rsidP="001C1436">
      <w:pPr>
        <w:ind w:left="720" w:hanging="720"/>
        <w:rPr>
          <w:rFonts w:asciiTheme="minorHAnsi" w:hAnsiTheme="minorHAnsi"/>
          <w:sz w:val="18"/>
        </w:rPr>
      </w:pPr>
      <w:r>
        <w:rPr>
          <w:rFonts w:asciiTheme="minorHAnsi" w:hAnsiTheme="minorHAnsi"/>
          <w:sz w:val="18"/>
        </w:rPr>
        <w:t>Joseph Coccaro – President &amp; CEO</w:t>
      </w:r>
      <w:r w:rsidR="006C4CF4">
        <w:rPr>
          <w:rFonts w:asciiTheme="minorHAnsi" w:hAnsiTheme="minorHAnsi"/>
          <w:sz w:val="18"/>
        </w:rPr>
        <w:t xml:space="preserve">, </w:t>
      </w:r>
      <w:r>
        <w:rPr>
          <w:rFonts w:asciiTheme="minorHAnsi" w:hAnsiTheme="minorHAnsi"/>
          <w:sz w:val="18"/>
        </w:rPr>
        <w:t>201-862-0660 ext. 1110</w:t>
      </w:r>
    </w:p>
    <w:sectPr w:rsidR="00255B5D" w:rsidRPr="00F76E29" w:rsidSect="00A56605">
      <w:pgSz w:w="12240" w:h="15840" w:code="1"/>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B41D" w14:textId="77777777" w:rsidR="00D46CB2" w:rsidRDefault="00D46CB2" w:rsidP="000135BD">
      <w:r>
        <w:separator/>
      </w:r>
    </w:p>
  </w:endnote>
  <w:endnote w:type="continuationSeparator" w:id="0">
    <w:p w14:paraId="4F3EA307" w14:textId="77777777" w:rsidR="00D46CB2" w:rsidRDefault="00D46CB2" w:rsidP="000135BD">
      <w:r>
        <w:continuationSeparator/>
      </w:r>
    </w:p>
  </w:endnote>
  <w:endnote w:type="continuationNotice" w:id="1">
    <w:p w14:paraId="1360C3CF" w14:textId="77777777" w:rsidR="00D46CB2" w:rsidRDefault="00D46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D5EB" w14:textId="77777777" w:rsidR="00D46CB2" w:rsidRDefault="00D46CB2" w:rsidP="000135BD">
      <w:pPr>
        <w:rPr>
          <w:noProof/>
        </w:rPr>
      </w:pPr>
      <w:r>
        <w:rPr>
          <w:noProof/>
        </w:rPr>
        <w:separator/>
      </w:r>
    </w:p>
  </w:footnote>
  <w:footnote w:type="continuationSeparator" w:id="0">
    <w:p w14:paraId="2D4C6D28" w14:textId="77777777" w:rsidR="00D46CB2" w:rsidRDefault="00D46CB2" w:rsidP="000135BD">
      <w:r>
        <w:continuationSeparator/>
      </w:r>
    </w:p>
  </w:footnote>
  <w:footnote w:type="continuationNotice" w:id="1">
    <w:p w14:paraId="0A7BBDD9" w14:textId="77777777" w:rsidR="00D46CB2" w:rsidRDefault="00D46C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BAB"/>
    <w:multiLevelType w:val="hybridMultilevel"/>
    <w:tmpl w:val="9CAC236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727CCA"/>
    <w:multiLevelType w:val="hybridMultilevel"/>
    <w:tmpl w:val="CF801A06"/>
    <w:lvl w:ilvl="0" w:tplc="2F342F60">
      <w:start w:val="7"/>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15:restartNumberingAfterBreak="0">
    <w:nsid w:val="03EC3288"/>
    <w:multiLevelType w:val="hybridMultilevel"/>
    <w:tmpl w:val="9F7E333C"/>
    <w:lvl w:ilvl="0" w:tplc="A0127C16">
      <w:start w:val="1"/>
      <w:numFmt w:val="bullet"/>
      <w:lvlText w:val="•"/>
      <w:lvlJc w:val="left"/>
      <w:pPr>
        <w:tabs>
          <w:tab w:val="num" w:pos="1440"/>
        </w:tabs>
        <w:ind w:left="1440" w:hanging="720"/>
      </w:pPr>
      <w:rPr>
        <w:rFonts w:ascii="Times New Roman Bold" w:hAnsi="Times New Roman Bold" w:cs="Times New Roman" w:hint="default"/>
        <w:b/>
        <w:i w:val="0"/>
        <w:sz w:val="24"/>
        <w:szCs w:val="20"/>
      </w:rPr>
    </w:lvl>
    <w:lvl w:ilvl="1" w:tplc="04090003">
      <w:start w:val="1"/>
      <w:numFmt w:val="decimal"/>
      <w:lvlText w:val="(%2)"/>
      <w:lvlJc w:val="left"/>
      <w:pPr>
        <w:tabs>
          <w:tab w:val="num" w:pos="360"/>
        </w:tabs>
        <w:ind w:left="360" w:hanging="360"/>
      </w:pPr>
      <w:rPr>
        <w:rFont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7F447D"/>
    <w:multiLevelType w:val="hybridMultilevel"/>
    <w:tmpl w:val="12E65DBC"/>
    <w:lvl w:ilvl="0" w:tplc="B4CC77D2">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E5D36"/>
    <w:multiLevelType w:val="hybridMultilevel"/>
    <w:tmpl w:val="1F7ADB6E"/>
    <w:lvl w:ilvl="0" w:tplc="04090001">
      <w:start w:val="2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C61A4"/>
    <w:multiLevelType w:val="hybridMultilevel"/>
    <w:tmpl w:val="45C4E4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F2FD3"/>
    <w:multiLevelType w:val="hybridMultilevel"/>
    <w:tmpl w:val="B9D8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3DB5"/>
    <w:multiLevelType w:val="hybridMultilevel"/>
    <w:tmpl w:val="C004CE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106E7"/>
    <w:multiLevelType w:val="hybridMultilevel"/>
    <w:tmpl w:val="16BA5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210292"/>
    <w:multiLevelType w:val="hybridMultilevel"/>
    <w:tmpl w:val="E104DF22"/>
    <w:lvl w:ilvl="0" w:tplc="BC0A6C2A">
      <w:numFmt w:val="bullet"/>
      <w:lvlText w:val="-"/>
      <w:lvlJc w:val="left"/>
      <w:pPr>
        <w:ind w:left="1410" w:hanging="10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0648C"/>
    <w:multiLevelType w:val="hybridMultilevel"/>
    <w:tmpl w:val="592A0E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7A41C4"/>
    <w:multiLevelType w:val="hybridMultilevel"/>
    <w:tmpl w:val="847C30A8"/>
    <w:lvl w:ilvl="0" w:tplc="A0127C16">
      <w:start w:val="1"/>
      <w:numFmt w:val="bullet"/>
      <w:lvlText w:val="•"/>
      <w:lvlJc w:val="left"/>
      <w:pPr>
        <w:tabs>
          <w:tab w:val="num" w:pos="1440"/>
        </w:tabs>
        <w:ind w:left="1440" w:hanging="720"/>
      </w:pPr>
      <w:rPr>
        <w:rFonts w:ascii="Times New Roman Bold" w:hAnsi="Times New Roman Bold" w:cs="Times New Roman" w:hint="default"/>
        <w:b/>
        <w:i w:val="0"/>
        <w:sz w:val="24"/>
        <w:szCs w:val="20"/>
      </w:rPr>
    </w:lvl>
    <w:lvl w:ilvl="1" w:tplc="04090003">
      <w:start w:val="1"/>
      <w:numFmt w:val="decimal"/>
      <w:lvlText w:val="(%2)"/>
      <w:lvlJc w:val="left"/>
      <w:pPr>
        <w:tabs>
          <w:tab w:val="num" w:pos="360"/>
        </w:tabs>
        <w:ind w:left="360" w:hanging="360"/>
      </w:pPr>
      <w:rPr>
        <w:rFont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E0985"/>
    <w:multiLevelType w:val="hybridMultilevel"/>
    <w:tmpl w:val="457637F6"/>
    <w:lvl w:ilvl="0" w:tplc="1D00EB80">
      <w:start w:val="4"/>
      <w:numFmt w:val="bullet"/>
      <w:lvlText w:val=" "/>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35BF9"/>
    <w:multiLevelType w:val="hybridMultilevel"/>
    <w:tmpl w:val="9CAC236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A51024"/>
    <w:multiLevelType w:val="hybridMultilevel"/>
    <w:tmpl w:val="7EB688A2"/>
    <w:lvl w:ilvl="0" w:tplc="6E366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323F3"/>
    <w:multiLevelType w:val="hybridMultilevel"/>
    <w:tmpl w:val="6C00C536"/>
    <w:lvl w:ilvl="0" w:tplc="71CE4646">
      <w:numFmt w:val="bullet"/>
      <w:lvlText w:val="-"/>
      <w:lvlJc w:val="left"/>
      <w:pPr>
        <w:ind w:left="1425" w:hanging="10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C579F"/>
    <w:multiLevelType w:val="hybridMultilevel"/>
    <w:tmpl w:val="692C5C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42CDD"/>
    <w:multiLevelType w:val="hybridMultilevel"/>
    <w:tmpl w:val="E5C453F0"/>
    <w:lvl w:ilvl="0" w:tplc="CA501D6A">
      <w:numFmt w:val="bullet"/>
      <w:lvlText w:val="-"/>
      <w:lvlJc w:val="left"/>
      <w:pPr>
        <w:ind w:left="1335" w:hanging="97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737BC"/>
    <w:multiLevelType w:val="hybridMultilevel"/>
    <w:tmpl w:val="4764158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57B0A"/>
    <w:multiLevelType w:val="hybridMultilevel"/>
    <w:tmpl w:val="1BBA3360"/>
    <w:lvl w:ilvl="0" w:tplc="83143C16">
      <w:start w:val="1"/>
      <w:numFmt w:val="bullet"/>
      <w:pStyle w:val="Bulletedlist"/>
      <w:lvlText w:val=""/>
      <w:lvlJc w:val="left"/>
      <w:pPr>
        <w:tabs>
          <w:tab w:val="num" w:pos="1440"/>
        </w:tabs>
        <w:ind w:left="1440" w:hanging="720"/>
      </w:pPr>
      <w:rPr>
        <w:rFonts w:ascii="Symbol" w:hAnsi="Symbol" w:hint="default"/>
        <w:sz w:val="20"/>
        <w:szCs w:val="20"/>
      </w:rPr>
    </w:lvl>
    <w:lvl w:ilvl="1" w:tplc="04090003">
      <w:start w:val="1"/>
      <w:numFmt w:val="decimal"/>
      <w:lvlText w:val="(%2)"/>
      <w:lvlJc w:val="left"/>
      <w:pPr>
        <w:tabs>
          <w:tab w:val="num" w:pos="360"/>
        </w:tabs>
        <w:ind w:left="360" w:hanging="360"/>
      </w:pPr>
      <w:rPr>
        <w:rFont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011452"/>
    <w:multiLevelType w:val="hybridMultilevel"/>
    <w:tmpl w:val="26946862"/>
    <w:lvl w:ilvl="0" w:tplc="D876AEEC">
      <w:start w:val="21"/>
      <w:numFmt w:val="bullet"/>
      <w:lvlText w:val="-"/>
      <w:lvlJc w:val="left"/>
      <w:pPr>
        <w:ind w:left="1185" w:hanging="8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A6A7C"/>
    <w:multiLevelType w:val="hybridMultilevel"/>
    <w:tmpl w:val="E19809BC"/>
    <w:lvl w:ilvl="0" w:tplc="AE301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2"/>
  </w:num>
  <w:num w:numId="4">
    <w:abstractNumId w:val="18"/>
  </w:num>
  <w:num w:numId="5">
    <w:abstractNumId w:val="12"/>
  </w:num>
  <w:num w:numId="6">
    <w:abstractNumId w:val="1"/>
  </w:num>
  <w:num w:numId="7">
    <w:abstractNumId w:val="17"/>
  </w:num>
  <w:num w:numId="8">
    <w:abstractNumId w:val="14"/>
  </w:num>
  <w:num w:numId="9">
    <w:abstractNumId w:val="0"/>
  </w:num>
  <w:num w:numId="10">
    <w:abstractNumId w:val="13"/>
  </w:num>
  <w:num w:numId="11">
    <w:abstractNumId w:val="21"/>
  </w:num>
  <w:num w:numId="12">
    <w:abstractNumId w:val="7"/>
  </w:num>
  <w:num w:numId="13">
    <w:abstractNumId w:val="5"/>
  </w:num>
  <w:num w:numId="14">
    <w:abstractNumId w:val="10"/>
  </w:num>
  <w:num w:numId="15">
    <w:abstractNumId w:val="8"/>
  </w:num>
  <w:num w:numId="16">
    <w:abstractNumId w:val="16"/>
  </w:num>
  <w:num w:numId="17">
    <w:abstractNumId w:val="4"/>
  </w:num>
  <w:num w:numId="18">
    <w:abstractNumId w:val="9"/>
  </w:num>
  <w:num w:numId="19">
    <w:abstractNumId w:val="20"/>
  </w:num>
  <w:num w:numId="20">
    <w:abstractNumId w:val="3"/>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CC"/>
    <w:rsid w:val="0000300A"/>
    <w:rsid w:val="0000530E"/>
    <w:rsid w:val="00005DBD"/>
    <w:rsid w:val="0000650F"/>
    <w:rsid w:val="000104C3"/>
    <w:rsid w:val="00010DD4"/>
    <w:rsid w:val="00012ADC"/>
    <w:rsid w:val="000135BD"/>
    <w:rsid w:val="00014073"/>
    <w:rsid w:val="000147D8"/>
    <w:rsid w:val="000176C7"/>
    <w:rsid w:val="00017959"/>
    <w:rsid w:val="0002066B"/>
    <w:rsid w:val="000209F0"/>
    <w:rsid w:val="00022311"/>
    <w:rsid w:val="000226F9"/>
    <w:rsid w:val="00025EC4"/>
    <w:rsid w:val="000303E6"/>
    <w:rsid w:val="0003060A"/>
    <w:rsid w:val="000309CE"/>
    <w:rsid w:val="000314DE"/>
    <w:rsid w:val="00040C96"/>
    <w:rsid w:val="000442C6"/>
    <w:rsid w:val="00044C1E"/>
    <w:rsid w:val="0004596C"/>
    <w:rsid w:val="00050786"/>
    <w:rsid w:val="000507B5"/>
    <w:rsid w:val="0005562C"/>
    <w:rsid w:val="00060D92"/>
    <w:rsid w:val="00065957"/>
    <w:rsid w:val="00071B85"/>
    <w:rsid w:val="00075502"/>
    <w:rsid w:val="00075AF8"/>
    <w:rsid w:val="00080FD8"/>
    <w:rsid w:val="00083349"/>
    <w:rsid w:val="00084947"/>
    <w:rsid w:val="00090407"/>
    <w:rsid w:val="000904B4"/>
    <w:rsid w:val="00090CD4"/>
    <w:rsid w:val="00094C91"/>
    <w:rsid w:val="000958C8"/>
    <w:rsid w:val="0009661F"/>
    <w:rsid w:val="000A1261"/>
    <w:rsid w:val="000A14AD"/>
    <w:rsid w:val="000A26C2"/>
    <w:rsid w:val="000A368A"/>
    <w:rsid w:val="000A3D64"/>
    <w:rsid w:val="000A49C2"/>
    <w:rsid w:val="000B072D"/>
    <w:rsid w:val="000B14A5"/>
    <w:rsid w:val="000B354E"/>
    <w:rsid w:val="000B59CE"/>
    <w:rsid w:val="000B5FC7"/>
    <w:rsid w:val="000B6E06"/>
    <w:rsid w:val="000C128E"/>
    <w:rsid w:val="000C184F"/>
    <w:rsid w:val="000C596A"/>
    <w:rsid w:val="000C70DE"/>
    <w:rsid w:val="000D01F8"/>
    <w:rsid w:val="000D3368"/>
    <w:rsid w:val="000D37A4"/>
    <w:rsid w:val="000E342D"/>
    <w:rsid w:val="000F4012"/>
    <w:rsid w:val="000F53E5"/>
    <w:rsid w:val="000F5CCE"/>
    <w:rsid w:val="001056E0"/>
    <w:rsid w:val="00106D17"/>
    <w:rsid w:val="0011170C"/>
    <w:rsid w:val="00111BEA"/>
    <w:rsid w:val="001142D5"/>
    <w:rsid w:val="0011542E"/>
    <w:rsid w:val="00115C52"/>
    <w:rsid w:val="00120601"/>
    <w:rsid w:val="00121C14"/>
    <w:rsid w:val="00121DB5"/>
    <w:rsid w:val="00122984"/>
    <w:rsid w:val="001278D1"/>
    <w:rsid w:val="00130F65"/>
    <w:rsid w:val="00134169"/>
    <w:rsid w:val="00134633"/>
    <w:rsid w:val="00135E25"/>
    <w:rsid w:val="00137317"/>
    <w:rsid w:val="0013758D"/>
    <w:rsid w:val="00137ED2"/>
    <w:rsid w:val="00141DDB"/>
    <w:rsid w:val="00143B73"/>
    <w:rsid w:val="00143BC5"/>
    <w:rsid w:val="001456B3"/>
    <w:rsid w:val="0015008A"/>
    <w:rsid w:val="00156817"/>
    <w:rsid w:val="00160BB9"/>
    <w:rsid w:val="00161CB6"/>
    <w:rsid w:val="0016279A"/>
    <w:rsid w:val="0016415E"/>
    <w:rsid w:val="0016453A"/>
    <w:rsid w:val="00170C44"/>
    <w:rsid w:val="00170CEF"/>
    <w:rsid w:val="001730BA"/>
    <w:rsid w:val="001743F6"/>
    <w:rsid w:val="001754B1"/>
    <w:rsid w:val="00175750"/>
    <w:rsid w:val="001812BC"/>
    <w:rsid w:val="00181C12"/>
    <w:rsid w:val="001821AC"/>
    <w:rsid w:val="00183280"/>
    <w:rsid w:val="001833B5"/>
    <w:rsid w:val="00186EE7"/>
    <w:rsid w:val="001900B3"/>
    <w:rsid w:val="001917C4"/>
    <w:rsid w:val="0019555D"/>
    <w:rsid w:val="00195AF0"/>
    <w:rsid w:val="00196204"/>
    <w:rsid w:val="00197E19"/>
    <w:rsid w:val="001A144C"/>
    <w:rsid w:val="001A3715"/>
    <w:rsid w:val="001A4AF9"/>
    <w:rsid w:val="001A6B28"/>
    <w:rsid w:val="001B00A3"/>
    <w:rsid w:val="001B0763"/>
    <w:rsid w:val="001B1E51"/>
    <w:rsid w:val="001B2BE2"/>
    <w:rsid w:val="001B6251"/>
    <w:rsid w:val="001C088D"/>
    <w:rsid w:val="001C12CF"/>
    <w:rsid w:val="001C1436"/>
    <w:rsid w:val="001C6814"/>
    <w:rsid w:val="001C6F44"/>
    <w:rsid w:val="001D0C15"/>
    <w:rsid w:val="001D1961"/>
    <w:rsid w:val="001D3EF3"/>
    <w:rsid w:val="001D60C5"/>
    <w:rsid w:val="001D637A"/>
    <w:rsid w:val="001D7AB4"/>
    <w:rsid w:val="001E19E2"/>
    <w:rsid w:val="001E1D77"/>
    <w:rsid w:val="001E490C"/>
    <w:rsid w:val="001E4F7E"/>
    <w:rsid w:val="001E6626"/>
    <w:rsid w:val="001E7E23"/>
    <w:rsid w:val="001F1336"/>
    <w:rsid w:val="001F143D"/>
    <w:rsid w:val="001F185A"/>
    <w:rsid w:val="001F552E"/>
    <w:rsid w:val="00202B72"/>
    <w:rsid w:val="002111D0"/>
    <w:rsid w:val="00213F6F"/>
    <w:rsid w:val="00214CEC"/>
    <w:rsid w:val="00214F81"/>
    <w:rsid w:val="00216C81"/>
    <w:rsid w:val="002235E8"/>
    <w:rsid w:val="0022479C"/>
    <w:rsid w:val="002247AD"/>
    <w:rsid w:val="0022493A"/>
    <w:rsid w:val="00230472"/>
    <w:rsid w:val="002362E0"/>
    <w:rsid w:val="00240DAE"/>
    <w:rsid w:val="00241AD5"/>
    <w:rsid w:val="00242370"/>
    <w:rsid w:val="00242E55"/>
    <w:rsid w:val="002456AF"/>
    <w:rsid w:val="002510E3"/>
    <w:rsid w:val="00251AA0"/>
    <w:rsid w:val="00253701"/>
    <w:rsid w:val="00253E1A"/>
    <w:rsid w:val="002541D6"/>
    <w:rsid w:val="002552E8"/>
    <w:rsid w:val="00255B5D"/>
    <w:rsid w:val="00256225"/>
    <w:rsid w:val="0025731D"/>
    <w:rsid w:val="00257BA9"/>
    <w:rsid w:val="00257ED1"/>
    <w:rsid w:val="002606E8"/>
    <w:rsid w:val="0026384F"/>
    <w:rsid w:val="00263CDB"/>
    <w:rsid w:val="00263FC6"/>
    <w:rsid w:val="002743F0"/>
    <w:rsid w:val="00276F2E"/>
    <w:rsid w:val="002776BC"/>
    <w:rsid w:val="002776DC"/>
    <w:rsid w:val="0028353F"/>
    <w:rsid w:val="00284FAE"/>
    <w:rsid w:val="00285D1C"/>
    <w:rsid w:val="00286E2D"/>
    <w:rsid w:val="00286E30"/>
    <w:rsid w:val="002923CD"/>
    <w:rsid w:val="002931EE"/>
    <w:rsid w:val="0029379A"/>
    <w:rsid w:val="00295124"/>
    <w:rsid w:val="002953C8"/>
    <w:rsid w:val="00296E4E"/>
    <w:rsid w:val="002A4CC8"/>
    <w:rsid w:val="002A761E"/>
    <w:rsid w:val="002B0C78"/>
    <w:rsid w:val="002B7239"/>
    <w:rsid w:val="002B7327"/>
    <w:rsid w:val="002B7EBD"/>
    <w:rsid w:val="002C22AB"/>
    <w:rsid w:val="002C29A4"/>
    <w:rsid w:val="002C321F"/>
    <w:rsid w:val="002C397B"/>
    <w:rsid w:val="002C40FF"/>
    <w:rsid w:val="002D0C88"/>
    <w:rsid w:val="002D18CD"/>
    <w:rsid w:val="002D4038"/>
    <w:rsid w:val="002D6821"/>
    <w:rsid w:val="002D6EE0"/>
    <w:rsid w:val="002D708F"/>
    <w:rsid w:val="002E23CA"/>
    <w:rsid w:val="002E36EF"/>
    <w:rsid w:val="002E3B34"/>
    <w:rsid w:val="002E635E"/>
    <w:rsid w:val="002E64E3"/>
    <w:rsid w:val="002E7773"/>
    <w:rsid w:val="002F22DD"/>
    <w:rsid w:val="002F4009"/>
    <w:rsid w:val="00300766"/>
    <w:rsid w:val="0030145E"/>
    <w:rsid w:val="003053E1"/>
    <w:rsid w:val="00305505"/>
    <w:rsid w:val="003109F2"/>
    <w:rsid w:val="00313387"/>
    <w:rsid w:val="00314787"/>
    <w:rsid w:val="00316A6C"/>
    <w:rsid w:val="003246F8"/>
    <w:rsid w:val="00326004"/>
    <w:rsid w:val="003273B7"/>
    <w:rsid w:val="00327A11"/>
    <w:rsid w:val="00333983"/>
    <w:rsid w:val="00333E04"/>
    <w:rsid w:val="003349B0"/>
    <w:rsid w:val="00334DBB"/>
    <w:rsid w:val="00334E69"/>
    <w:rsid w:val="00336C25"/>
    <w:rsid w:val="003405F1"/>
    <w:rsid w:val="00341A76"/>
    <w:rsid w:val="0034321D"/>
    <w:rsid w:val="00344D62"/>
    <w:rsid w:val="00346B85"/>
    <w:rsid w:val="00350B83"/>
    <w:rsid w:val="00351939"/>
    <w:rsid w:val="00353A6B"/>
    <w:rsid w:val="00355DC7"/>
    <w:rsid w:val="003579BD"/>
    <w:rsid w:val="00360719"/>
    <w:rsid w:val="00360ADB"/>
    <w:rsid w:val="003614E5"/>
    <w:rsid w:val="003635E0"/>
    <w:rsid w:val="00364545"/>
    <w:rsid w:val="00367824"/>
    <w:rsid w:val="00372242"/>
    <w:rsid w:val="00376963"/>
    <w:rsid w:val="00377C9F"/>
    <w:rsid w:val="00380988"/>
    <w:rsid w:val="00380AC4"/>
    <w:rsid w:val="00381917"/>
    <w:rsid w:val="00387811"/>
    <w:rsid w:val="003A20D1"/>
    <w:rsid w:val="003A234F"/>
    <w:rsid w:val="003A2545"/>
    <w:rsid w:val="003A3140"/>
    <w:rsid w:val="003A37F2"/>
    <w:rsid w:val="003A56F0"/>
    <w:rsid w:val="003A5CF1"/>
    <w:rsid w:val="003B12DD"/>
    <w:rsid w:val="003B1C7A"/>
    <w:rsid w:val="003B3423"/>
    <w:rsid w:val="003B3653"/>
    <w:rsid w:val="003B37FC"/>
    <w:rsid w:val="003B4E63"/>
    <w:rsid w:val="003B6FF8"/>
    <w:rsid w:val="003B7AF4"/>
    <w:rsid w:val="003C0321"/>
    <w:rsid w:val="003C0962"/>
    <w:rsid w:val="003C5E19"/>
    <w:rsid w:val="003D1254"/>
    <w:rsid w:val="003D3FEC"/>
    <w:rsid w:val="003D7194"/>
    <w:rsid w:val="003D7292"/>
    <w:rsid w:val="003E00BC"/>
    <w:rsid w:val="003E0733"/>
    <w:rsid w:val="003E52DB"/>
    <w:rsid w:val="003E5A91"/>
    <w:rsid w:val="003F0F59"/>
    <w:rsid w:val="003F3D5A"/>
    <w:rsid w:val="003F4693"/>
    <w:rsid w:val="003F58B6"/>
    <w:rsid w:val="003F6042"/>
    <w:rsid w:val="003F6D03"/>
    <w:rsid w:val="003F7440"/>
    <w:rsid w:val="003F7BFF"/>
    <w:rsid w:val="00404F07"/>
    <w:rsid w:val="00405ED2"/>
    <w:rsid w:val="00411859"/>
    <w:rsid w:val="00413447"/>
    <w:rsid w:val="00413A81"/>
    <w:rsid w:val="00414C4C"/>
    <w:rsid w:val="0041664C"/>
    <w:rsid w:val="00417743"/>
    <w:rsid w:val="00420251"/>
    <w:rsid w:val="00422386"/>
    <w:rsid w:val="0043284F"/>
    <w:rsid w:val="00435E64"/>
    <w:rsid w:val="00437D13"/>
    <w:rsid w:val="00442180"/>
    <w:rsid w:val="00442580"/>
    <w:rsid w:val="004459E9"/>
    <w:rsid w:val="00446555"/>
    <w:rsid w:val="00447662"/>
    <w:rsid w:val="00447BB7"/>
    <w:rsid w:val="00450F32"/>
    <w:rsid w:val="00451D6D"/>
    <w:rsid w:val="00452DB1"/>
    <w:rsid w:val="00454A38"/>
    <w:rsid w:val="0046071E"/>
    <w:rsid w:val="0046136F"/>
    <w:rsid w:val="00461B56"/>
    <w:rsid w:val="00461DC0"/>
    <w:rsid w:val="00463136"/>
    <w:rsid w:val="004646E0"/>
    <w:rsid w:val="004648C5"/>
    <w:rsid w:val="00465348"/>
    <w:rsid w:val="00471E1E"/>
    <w:rsid w:val="00476B08"/>
    <w:rsid w:val="00482C8B"/>
    <w:rsid w:val="004841E0"/>
    <w:rsid w:val="0048430B"/>
    <w:rsid w:val="00486EDB"/>
    <w:rsid w:val="00491274"/>
    <w:rsid w:val="004931F0"/>
    <w:rsid w:val="004A3F1C"/>
    <w:rsid w:val="004A4E5E"/>
    <w:rsid w:val="004A6490"/>
    <w:rsid w:val="004A64F2"/>
    <w:rsid w:val="004A6C52"/>
    <w:rsid w:val="004A7694"/>
    <w:rsid w:val="004B0064"/>
    <w:rsid w:val="004B13CE"/>
    <w:rsid w:val="004B34CF"/>
    <w:rsid w:val="004C00AD"/>
    <w:rsid w:val="004C5018"/>
    <w:rsid w:val="004D007A"/>
    <w:rsid w:val="004D1590"/>
    <w:rsid w:val="004D1761"/>
    <w:rsid w:val="004D2260"/>
    <w:rsid w:val="004D4266"/>
    <w:rsid w:val="004D55F2"/>
    <w:rsid w:val="004D5665"/>
    <w:rsid w:val="004D632F"/>
    <w:rsid w:val="004D6EFE"/>
    <w:rsid w:val="004D7452"/>
    <w:rsid w:val="004D7B4C"/>
    <w:rsid w:val="004E181A"/>
    <w:rsid w:val="004E2293"/>
    <w:rsid w:val="004E6380"/>
    <w:rsid w:val="004E7ADD"/>
    <w:rsid w:val="004F2B12"/>
    <w:rsid w:val="004F2C55"/>
    <w:rsid w:val="004F2F00"/>
    <w:rsid w:val="004F36BD"/>
    <w:rsid w:val="004F70C6"/>
    <w:rsid w:val="004F7F08"/>
    <w:rsid w:val="00503142"/>
    <w:rsid w:val="0050325F"/>
    <w:rsid w:val="005043E1"/>
    <w:rsid w:val="00507952"/>
    <w:rsid w:val="00507DE9"/>
    <w:rsid w:val="00510795"/>
    <w:rsid w:val="005137BF"/>
    <w:rsid w:val="00515C95"/>
    <w:rsid w:val="00515CC2"/>
    <w:rsid w:val="005162CD"/>
    <w:rsid w:val="00523B70"/>
    <w:rsid w:val="00523D17"/>
    <w:rsid w:val="00524094"/>
    <w:rsid w:val="00524AEB"/>
    <w:rsid w:val="00526287"/>
    <w:rsid w:val="005267A8"/>
    <w:rsid w:val="00527FAB"/>
    <w:rsid w:val="005332CE"/>
    <w:rsid w:val="00533EB8"/>
    <w:rsid w:val="005361DA"/>
    <w:rsid w:val="00537903"/>
    <w:rsid w:val="0054091A"/>
    <w:rsid w:val="00543716"/>
    <w:rsid w:val="00543B48"/>
    <w:rsid w:val="00545029"/>
    <w:rsid w:val="005457BF"/>
    <w:rsid w:val="0054646B"/>
    <w:rsid w:val="005542ED"/>
    <w:rsid w:val="00561E60"/>
    <w:rsid w:val="00563F98"/>
    <w:rsid w:val="0057347A"/>
    <w:rsid w:val="00574EFD"/>
    <w:rsid w:val="005810DF"/>
    <w:rsid w:val="00581793"/>
    <w:rsid w:val="00581D3D"/>
    <w:rsid w:val="0058405F"/>
    <w:rsid w:val="005842D7"/>
    <w:rsid w:val="005846A6"/>
    <w:rsid w:val="00585541"/>
    <w:rsid w:val="00591535"/>
    <w:rsid w:val="00593550"/>
    <w:rsid w:val="00593DAD"/>
    <w:rsid w:val="005940DD"/>
    <w:rsid w:val="00595C61"/>
    <w:rsid w:val="00596C34"/>
    <w:rsid w:val="005A035A"/>
    <w:rsid w:val="005A0455"/>
    <w:rsid w:val="005A378A"/>
    <w:rsid w:val="005A58C0"/>
    <w:rsid w:val="005B0660"/>
    <w:rsid w:val="005B0AF1"/>
    <w:rsid w:val="005B6F3E"/>
    <w:rsid w:val="005C0CAA"/>
    <w:rsid w:val="005C3855"/>
    <w:rsid w:val="005C399B"/>
    <w:rsid w:val="005C4D56"/>
    <w:rsid w:val="005C4FAE"/>
    <w:rsid w:val="005D2465"/>
    <w:rsid w:val="005D34A5"/>
    <w:rsid w:val="005E0FE6"/>
    <w:rsid w:val="005E3990"/>
    <w:rsid w:val="005E39F2"/>
    <w:rsid w:val="005E4042"/>
    <w:rsid w:val="005F1104"/>
    <w:rsid w:val="005F154D"/>
    <w:rsid w:val="005F1828"/>
    <w:rsid w:val="005F22CE"/>
    <w:rsid w:val="005F68C9"/>
    <w:rsid w:val="005F78E0"/>
    <w:rsid w:val="00603290"/>
    <w:rsid w:val="0060452E"/>
    <w:rsid w:val="00605BEA"/>
    <w:rsid w:val="00605D9C"/>
    <w:rsid w:val="00607056"/>
    <w:rsid w:val="006074BE"/>
    <w:rsid w:val="00610BEE"/>
    <w:rsid w:val="00612745"/>
    <w:rsid w:val="00613942"/>
    <w:rsid w:val="00620454"/>
    <w:rsid w:val="00621EF0"/>
    <w:rsid w:val="00625EB7"/>
    <w:rsid w:val="00626547"/>
    <w:rsid w:val="00630404"/>
    <w:rsid w:val="006334DE"/>
    <w:rsid w:val="00633B46"/>
    <w:rsid w:val="0063552A"/>
    <w:rsid w:val="00635945"/>
    <w:rsid w:val="00641A46"/>
    <w:rsid w:val="00642B9E"/>
    <w:rsid w:val="00643C4C"/>
    <w:rsid w:val="0064523F"/>
    <w:rsid w:val="00645551"/>
    <w:rsid w:val="006465B2"/>
    <w:rsid w:val="0064780C"/>
    <w:rsid w:val="00647C02"/>
    <w:rsid w:val="0065158A"/>
    <w:rsid w:val="00651E01"/>
    <w:rsid w:val="0065387A"/>
    <w:rsid w:val="00654179"/>
    <w:rsid w:val="00655185"/>
    <w:rsid w:val="00656D83"/>
    <w:rsid w:val="0066069F"/>
    <w:rsid w:val="00660CE4"/>
    <w:rsid w:val="0066130B"/>
    <w:rsid w:val="00661BED"/>
    <w:rsid w:val="00662AF5"/>
    <w:rsid w:val="00663647"/>
    <w:rsid w:val="00663959"/>
    <w:rsid w:val="00664E4E"/>
    <w:rsid w:val="006702AE"/>
    <w:rsid w:val="00670613"/>
    <w:rsid w:val="0067279C"/>
    <w:rsid w:val="00673906"/>
    <w:rsid w:val="00674A55"/>
    <w:rsid w:val="00675FD1"/>
    <w:rsid w:val="00677BA8"/>
    <w:rsid w:val="00681A0B"/>
    <w:rsid w:val="006852D6"/>
    <w:rsid w:val="00690D74"/>
    <w:rsid w:val="00690DAB"/>
    <w:rsid w:val="006945EA"/>
    <w:rsid w:val="00697EF4"/>
    <w:rsid w:val="006A004D"/>
    <w:rsid w:val="006B0AA5"/>
    <w:rsid w:val="006B5866"/>
    <w:rsid w:val="006B710B"/>
    <w:rsid w:val="006B713F"/>
    <w:rsid w:val="006C4CF4"/>
    <w:rsid w:val="006C4F63"/>
    <w:rsid w:val="006C738B"/>
    <w:rsid w:val="006D0627"/>
    <w:rsid w:val="006D1F06"/>
    <w:rsid w:val="006D508A"/>
    <w:rsid w:val="006E28AC"/>
    <w:rsid w:val="006E2AF4"/>
    <w:rsid w:val="006E2F77"/>
    <w:rsid w:val="006E582C"/>
    <w:rsid w:val="006E5B9C"/>
    <w:rsid w:val="006F12C9"/>
    <w:rsid w:val="006F64E6"/>
    <w:rsid w:val="006F79AE"/>
    <w:rsid w:val="0070189F"/>
    <w:rsid w:val="00701A63"/>
    <w:rsid w:val="0070346C"/>
    <w:rsid w:val="00710311"/>
    <w:rsid w:val="007112C9"/>
    <w:rsid w:val="007125A6"/>
    <w:rsid w:val="007168AB"/>
    <w:rsid w:val="00716C82"/>
    <w:rsid w:val="00720603"/>
    <w:rsid w:val="0072227B"/>
    <w:rsid w:val="00724202"/>
    <w:rsid w:val="00725FD0"/>
    <w:rsid w:val="007340F9"/>
    <w:rsid w:val="0073641E"/>
    <w:rsid w:val="0074001B"/>
    <w:rsid w:val="007415C5"/>
    <w:rsid w:val="00742DE2"/>
    <w:rsid w:val="0074422A"/>
    <w:rsid w:val="00745595"/>
    <w:rsid w:val="00747265"/>
    <w:rsid w:val="00747AE9"/>
    <w:rsid w:val="0075363B"/>
    <w:rsid w:val="00753E3E"/>
    <w:rsid w:val="00755972"/>
    <w:rsid w:val="007559B4"/>
    <w:rsid w:val="00757A55"/>
    <w:rsid w:val="00761D6E"/>
    <w:rsid w:val="007655FC"/>
    <w:rsid w:val="00766118"/>
    <w:rsid w:val="00766187"/>
    <w:rsid w:val="00770CBC"/>
    <w:rsid w:val="0077256A"/>
    <w:rsid w:val="00774ECE"/>
    <w:rsid w:val="00784F4D"/>
    <w:rsid w:val="00785007"/>
    <w:rsid w:val="00785651"/>
    <w:rsid w:val="00786879"/>
    <w:rsid w:val="007868B3"/>
    <w:rsid w:val="0078763D"/>
    <w:rsid w:val="007877AD"/>
    <w:rsid w:val="00787D94"/>
    <w:rsid w:val="0079045C"/>
    <w:rsid w:val="00791028"/>
    <w:rsid w:val="00791B00"/>
    <w:rsid w:val="007928B9"/>
    <w:rsid w:val="007958EF"/>
    <w:rsid w:val="007A5F8D"/>
    <w:rsid w:val="007B1DC0"/>
    <w:rsid w:val="007B1F5D"/>
    <w:rsid w:val="007B2834"/>
    <w:rsid w:val="007B2D3F"/>
    <w:rsid w:val="007B734D"/>
    <w:rsid w:val="007C4F73"/>
    <w:rsid w:val="007C5EE9"/>
    <w:rsid w:val="007C62A5"/>
    <w:rsid w:val="007C65A9"/>
    <w:rsid w:val="007D1C7B"/>
    <w:rsid w:val="007D1F19"/>
    <w:rsid w:val="007D5B22"/>
    <w:rsid w:val="007E1FA0"/>
    <w:rsid w:val="007E31AF"/>
    <w:rsid w:val="007E5914"/>
    <w:rsid w:val="007E669A"/>
    <w:rsid w:val="007F12EC"/>
    <w:rsid w:val="007F1AE5"/>
    <w:rsid w:val="007F23BC"/>
    <w:rsid w:val="007F2822"/>
    <w:rsid w:val="007F46B5"/>
    <w:rsid w:val="007F568B"/>
    <w:rsid w:val="007F56A5"/>
    <w:rsid w:val="007F6F1C"/>
    <w:rsid w:val="00804A2C"/>
    <w:rsid w:val="00804C4F"/>
    <w:rsid w:val="00804E31"/>
    <w:rsid w:val="00805545"/>
    <w:rsid w:val="008055B5"/>
    <w:rsid w:val="00805FEA"/>
    <w:rsid w:val="008109E1"/>
    <w:rsid w:val="008141B6"/>
    <w:rsid w:val="00814761"/>
    <w:rsid w:val="0081694C"/>
    <w:rsid w:val="00820898"/>
    <w:rsid w:val="00823C7D"/>
    <w:rsid w:val="00824399"/>
    <w:rsid w:val="00831AD5"/>
    <w:rsid w:val="0083208E"/>
    <w:rsid w:val="008327FD"/>
    <w:rsid w:val="00835449"/>
    <w:rsid w:val="00835C2E"/>
    <w:rsid w:val="00840AA8"/>
    <w:rsid w:val="0084153D"/>
    <w:rsid w:val="00841D24"/>
    <w:rsid w:val="008420D5"/>
    <w:rsid w:val="008454FE"/>
    <w:rsid w:val="00851323"/>
    <w:rsid w:val="0085492B"/>
    <w:rsid w:val="008563A3"/>
    <w:rsid w:val="00864749"/>
    <w:rsid w:val="00871D50"/>
    <w:rsid w:val="00873400"/>
    <w:rsid w:val="00885861"/>
    <w:rsid w:val="00887B13"/>
    <w:rsid w:val="0089381C"/>
    <w:rsid w:val="00894C70"/>
    <w:rsid w:val="00894FDB"/>
    <w:rsid w:val="00896749"/>
    <w:rsid w:val="0089695A"/>
    <w:rsid w:val="008A6981"/>
    <w:rsid w:val="008A6DEE"/>
    <w:rsid w:val="008B03F7"/>
    <w:rsid w:val="008B4414"/>
    <w:rsid w:val="008B5C13"/>
    <w:rsid w:val="008B6EB9"/>
    <w:rsid w:val="008B7707"/>
    <w:rsid w:val="008B7A23"/>
    <w:rsid w:val="008C2150"/>
    <w:rsid w:val="008C2C37"/>
    <w:rsid w:val="008C4646"/>
    <w:rsid w:val="008C5AEC"/>
    <w:rsid w:val="008C5EBD"/>
    <w:rsid w:val="008C76CC"/>
    <w:rsid w:val="008D2C83"/>
    <w:rsid w:val="008D3F6D"/>
    <w:rsid w:val="008D4129"/>
    <w:rsid w:val="008D53BA"/>
    <w:rsid w:val="008E03AB"/>
    <w:rsid w:val="008E2CD7"/>
    <w:rsid w:val="008E2DCC"/>
    <w:rsid w:val="008E3BD9"/>
    <w:rsid w:val="008E3F3B"/>
    <w:rsid w:val="008E49C7"/>
    <w:rsid w:val="008F02B0"/>
    <w:rsid w:val="008F1111"/>
    <w:rsid w:val="008F1BA1"/>
    <w:rsid w:val="008F599D"/>
    <w:rsid w:val="008F5B04"/>
    <w:rsid w:val="008F69B8"/>
    <w:rsid w:val="008F6CA7"/>
    <w:rsid w:val="008F708F"/>
    <w:rsid w:val="00900F58"/>
    <w:rsid w:val="00902279"/>
    <w:rsid w:val="00903AD9"/>
    <w:rsid w:val="0090435D"/>
    <w:rsid w:val="0090502C"/>
    <w:rsid w:val="00905EC6"/>
    <w:rsid w:val="00911454"/>
    <w:rsid w:val="00912176"/>
    <w:rsid w:val="009139B4"/>
    <w:rsid w:val="00916169"/>
    <w:rsid w:val="00921DB8"/>
    <w:rsid w:val="009227A9"/>
    <w:rsid w:val="00923A07"/>
    <w:rsid w:val="00923B11"/>
    <w:rsid w:val="00923BB1"/>
    <w:rsid w:val="009246A0"/>
    <w:rsid w:val="009257E6"/>
    <w:rsid w:val="00931924"/>
    <w:rsid w:val="00932066"/>
    <w:rsid w:val="009322F1"/>
    <w:rsid w:val="00932313"/>
    <w:rsid w:val="009324B9"/>
    <w:rsid w:val="00933075"/>
    <w:rsid w:val="00933CC2"/>
    <w:rsid w:val="00934571"/>
    <w:rsid w:val="00935670"/>
    <w:rsid w:val="00935EB0"/>
    <w:rsid w:val="00941172"/>
    <w:rsid w:val="00941FA7"/>
    <w:rsid w:val="00942D63"/>
    <w:rsid w:val="00946869"/>
    <w:rsid w:val="00946B53"/>
    <w:rsid w:val="00946F5E"/>
    <w:rsid w:val="00946FCD"/>
    <w:rsid w:val="009473EE"/>
    <w:rsid w:val="009535D6"/>
    <w:rsid w:val="009537D7"/>
    <w:rsid w:val="00955E79"/>
    <w:rsid w:val="00955F60"/>
    <w:rsid w:val="009656F5"/>
    <w:rsid w:val="00967001"/>
    <w:rsid w:val="00972E61"/>
    <w:rsid w:val="00975748"/>
    <w:rsid w:val="0097599B"/>
    <w:rsid w:val="00977FB1"/>
    <w:rsid w:val="0098379F"/>
    <w:rsid w:val="00983EAF"/>
    <w:rsid w:val="00984C12"/>
    <w:rsid w:val="0098618C"/>
    <w:rsid w:val="00986F22"/>
    <w:rsid w:val="00990CFF"/>
    <w:rsid w:val="009920EB"/>
    <w:rsid w:val="00992D4C"/>
    <w:rsid w:val="00995041"/>
    <w:rsid w:val="009A0C20"/>
    <w:rsid w:val="009A2096"/>
    <w:rsid w:val="009A37DF"/>
    <w:rsid w:val="009A5355"/>
    <w:rsid w:val="009A5CCA"/>
    <w:rsid w:val="009A5EED"/>
    <w:rsid w:val="009A7F4F"/>
    <w:rsid w:val="009B1B5D"/>
    <w:rsid w:val="009B26DE"/>
    <w:rsid w:val="009B4657"/>
    <w:rsid w:val="009B62E6"/>
    <w:rsid w:val="009C1482"/>
    <w:rsid w:val="009C253D"/>
    <w:rsid w:val="009C2B09"/>
    <w:rsid w:val="009C41D9"/>
    <w:rsid w:val="009C6241"/>
    <w:rsid w:val="009C77B1"/>
    <w:rsid w:val="009D4D8C"/>
    <w:rsid w:val="009D5E87"/>
    <w:rsid w:val="009D6B0E"/>
    <w:rsid w:val="009E0CF3"/>
    <w:rsid w:val="009E0DC6"/>
    <w:rsid w:val="009E1B9D"/>
    <w:rsid w:val="009E1D92"/>
    <w:rsid w:val="009E775F"/>
    <w:rsid w:val="009F276E"/>
    <w:rsid w:val="009F2C92"/>
    <w:rsid w:val="009F5C08"/>
    <w:rsid w:val="009F5EBD"/>
    <w:rsid w:val="009F67BF"/>
    <w:rsid w:val="009F7482"/>
    <w:rsid w:val="009F77BF"/>
    <w:rsid w:val="00A00459"/>
    <w:rsid w:val="00A02987"/>
    <w:rsid w:val="00A03992"/>
    <w:rsid w:val="00A063AD"/>
    <w:rsid w:val="00A10E85"/>
    <w:rsid w:val="00A125C0"/>
    <w:rsid w:val="00A143D6"/>
    <w:rsid w:val="00A1461C"/>
    <w:rsid w:val="00A14C79"/>
    <w:rsid w:val="00A161D1"/>
    <w:rsid w:val="00A21A7F"/>
    <w:rsid w:val="00A2646C"/>
    <w:rsid w:val="00A30613"/>
    <w:rsid w:val="00A3083B"/>
    <w:rsid w:val="00A32FAE"/>
    <w:rsid w:val="00A34717"/>
    <w:rsid w:val="00A3506A"/>
    <w:rsid w:val="00A362A9"/>
    <w:rsid w:val="00A367A1"/>
    <w:rsid w:val="00A40CB4"/>
    <w:rsid w:val="00A456CE"/>
    <w:rsid w:val="00A46615"/>
    <w:rsid w:val="00A467C9"/>
    <w:rsid w:val="00A47B8A"/>
    <w:rsid w:val="00A500B9"/>
    <w:rsid w:val="00A5022C"/>
    <w:rsid w:val="00A51664"/>
    <w:rsid w:val="00A51790"/>
    <w:rsid w:val="00A52A82"/>
    <w:rsid w:val="00A53661"/>
    <w:rsid w:val="00A56605"/>
    <w:rsid w:val="00A56D71"/>
    <w:rsid w:val="00A5792F"/>
    <w:rsid w:val="00A57E81"/>
    <w:rsid w:val="00A6083D"/>
    <w:rsid w:val="00A60D5A"/>
    <w:rsid w:val="00A61826"/>
    <w:rsid w:val="00A62FAB"/>
    <w:rsid w:val="00A65B2F"/>
    <w:rsid w:val="00A66962"/>
    <w:rsid w:val="00A8040D"/>
    <w:rsid w:val="00A80D1C"/>
    <w:rsid w:val="00A820CF"/>
    <w:rsid w:val="00A82E60"/>
    <w:rsid w:val="00A8381C"/>
    <w:rsid w:val="00A85D82"/>
    <w:rsid w:val="00A9073F"/>
    <w:rsid w:val="00A91402"/>
    <w:rsid w:val="00A9148B"/>
    <w:rsid w:val="00A929E4"/>
    <w:rsid w:val="00A93F77"/>
    <w:rsid w:val="00A958AE"/>
    <w:rsid w:val="00AA50BA"/>
    <w:rsid w:val="00AA6378"/>
    <w:rsid w:val="00AA6FAB"/>
    <w:rsid w:val="00AA7C1C"/>
    <w:rsid w:val="00AB0B5A"/>
    <w:rsid w:val="00AB2589"/>
    <w:rsid w:val="00AB28A2"/>
    <w:rsid w:val="00AB2F2E"/>
    <w:rsid w:val="00AB322D"/>
    <w:rsid w:val="00AB42E3"/>
    <w:rsid w:val="00AB459E"/>
    <w:rsid w:val="00AB46A0"/>
    <w:rsid w:val="00AB6AB2"/>
    <w:rsid w:val="00AB7B08"/>
    <w:rsid w:val="00AC0B54"/>
    <w:rsid w:val="00AC4312"/>
    <w:rsid w:val="00AC4A86"/>
    <w:rsid w:val="00AD10EE"/>
    <w:rsid w:val="00AD459A"/>
    <w:rsid w:val="00AD7294"/>
    <w:rsid w:val="00AE0415"/>
    <w:rsid w:val="00AE12CD"/>
    <w:rsid w:val="00AE139E"/>
    <w:rsid w:val="00AE4B06"/>
    <w:rsid w:val="00AF2051"/>
    <w:rsid w:val="00AF2E37"/>
    <w:rsid w:val="00AF5180"/>
    <w:rsid w:val="00AF5983"/>
    <w:rsid w:val="00AF62D2"/>
    <w:rsid w:val="00AF6AE3"/>
    <w:rsid w:val="00B016C2"/>
    <w:rsid w:val="00B017B3"/>
    <w:rsid w:val="00B03EB3"/>
    <w:rsid w:val="00B04EB7"/>
    <w:rsid w:val="00B059A7"/>
    <w:rsid w:val="00B06CE5"/>
    <w:rsid w:val="00B117E3"/>
    <w:rsid w:val="00B117FE"/>
    <w:rsid w:val="00B11EA5"/>
    <w:rsid w:val="00B12284"/>
    <w:rsid w:val="00B132B5"/>
    <w:rsid w:val="00B159B9"/>
    <w:rsid w:val="00B16340"/>
    <w:rsid w:val="00B17074"/>
    <w:rsid w:val="00B172B0"/>
    <w:rsid w:val="00B22D3B"/>
    <w:rsid w:val="00B231F9"/>
    <w:rsid w:val="00B25D4F"/>
    <w:rsid w:val="00B26165"/>
    <w:rsid w:val="00B27AB8"/>
    <w:rsid w:val="00B30952"/>
    <w:rsid w:val="00B320B4"/>
    <w:rsid w:val="00B32B70"/>
    <w:rsid w:val="00B33284"/>
    <w:rsid w:val="00B343A3"/>
    <w:rsid w:val="00B422A6"/>
    <w:rsid w:val="00B463B4"/>
    <w:rsid w:val="00B50E88"/>
    <w:rsid w:val="00B549C7"/>
    <w:rsid w:val="00B56FAA"/>
    <w:rsid w:val="00B57E31"/>
    <w:rsid w:val="00B64EAE"/>
    <w:rsid w:val="00B66E79"/>
    <w:rsid w:val="00B7071B"/>
    <w:rsid w:val="00B70A3F"/>
    <w:rsid w:val="00B70E24"/>
    <w:rsid w:val="00B71CD7"/>
    <w:rsid w:val="00B736E5"/>
    <w:rsid w:val="00B73F26"/>
    <w:rsid w:val="00B740C6"/>
    <w:rsid w:val="00B74FDD"/>
    <w:rsid w:val="00B76F74"/>
    <w:rsid w:val="00B849F1"/>
    <w:rsid w:val="00B85859"/>
    <w:rsid w:val="00B87B7B"/>
    <w:rsid w:val="00B90A92"/>
    <w:rsid w:val="00B91A92"/>
    <w:rsid w:val="00B9216C"/>
    <w:rsid w:val="00B9299C"/>
    <w:rsid w:val="00B92EE3"/>
    <w:rsid w:val="00B96C32"/>
    <w:rsid w:val="00B970F3"/>
    <w:rsid w:val="00BA01F0"/>
    <w:rsid w:val="00BA0549"/>
    <w:rsid w:val="00BA058E"/>
    <w:rsid w:val="00BA0D0B"/>
    <w:rsid w:val="00BA14FF"/>
    <w:rsid w:val="00BA16E8"/>
    <w:rsid w:val="00BA335F"/>
    <w:rsid w:val="00BA3737"/>
    <w:rsid w:val="00BA3F86"/>
    <w:rsid w:val="00BA6C30"/>
    <w:rsid w:val="00BB0663"/>
    <w:rsid w:val="00BB43A3"/>
    <w:rsid w:val="00BB4FBA"/>
    <w:rsid w:val="00BB5506"/>
    <w:rsid w:val="00BC126A"/>
    <w:rsid w:val="00BC29EA"/>
    <w:rsid w:val="00BC2D7A"/>
    <w:rsid w:val="00BC3ED8"/>
    <w:rsid w:val="00BC6BF1"/>
    <w:rsid w:val="00BC7C13"/>
    <w:rsid w:val="00BC7D01"/>
    <w:rsid w:val="00BD09E9"/>
    <w:rsid w:val="00BD19C6"/>
    <w:rsid w:val="00BD326C"/>
    <w:rsid w:val="00BD3FAC"/>
    <w:rsid w:val="00BD4CDC"/>
    <w:rsid w:val="00BD6665"/>
    <w:rsid w:val="00BD7995"/>
    <w:rsid w:val="00BD7E71"/>
    <w:rsid w:val="00BE0999"/>
    <w:rsid w:val="00BE1AD7"/>
    <w:rsid w:val="00BE4923"/>
    <w:rsid w:val="00BE717E"/>
    <w:rsid w:val="00BE73CA"/>
    <w:rsid w:val="00BF0205"/>
    <w:rsid w:val="00BF033A"/>
    <w:rsid w:val="00BF1945"/>
    <w:rsid w:val="00BF1C23"/>
    <w:rsid w:val="00BF25D2"/>
    <w:rsid w:val="00BF267A"/>
    <w:rsid w:val="00BF335D"/>
    <w:rsid w:val="00BF4913"/>
    <w:rsid w:val="00BF5FE8"/>
    <w:rsid w:val="00C00F16"/>
    <w:rsid w:val="00C03191"/>
    <w:rsid w:val="00C074D3"/>
    <w:rsid w:val="00C079CA"/>
    <w:rsid w:val="00C110E7"/>
    <w:rsid w:val="00C16D31"/>
    <w:rsid w:val="00C21036"/>
    <w:rsid w:val="00C246E9"/>
    <w:rsid w:val="00C30BFD"/>
    <w:rsid w:val="00C31EF2"/>
    <w:rsid w:val="00C34180"/>
    <w:rsid w:val="00C353F5"/>
    <w:rsid w:val="00C36136"/>
    <w:rsid w:val="00C41E9C"/>
    <w:rsid w:val="00C44527"/>
    <w:rsid w:val="00C45B64"/>
    <w:rsid w:val="00C5080C"/>
    <w:rsid w:val="00C5348D"/>
    <w:rsid w:val="00C61719"/>
    <w:rsid w:val="00C61BE7"/>
    <w:rsid w:val="00C6480C"/>
    <w:rsid w:val="00C667E2"/>
    <w:rsid w:val="00C70848"/>
    <w:rsid w:val="00C713A2"/>
    <w:rsid w:val="00C71C14"/>
    <w:rsid w:val="00C72047"/>
    <w:rsid w:val="00C7290E"/>
    <w:rsid w:val="00C73C16"/>
    <w:rsid w:val="00C75F0D"/>
    <w:rsid w:val="00C75FC8"/>
    <w:rsid w:val="00C810FC"/>
    <w:rsid w:val="00C823DB"/>
    <w:rsid w:val="00C84461"/>
    <w:rsid w:val="00C92F81"/>
    <w:rsid w:val="00C93959"/>
    <w:rsid w:val="00C9623B"/>
    <w:rsid w:val="00C965CC"/>
    <w:rsid w:val="00C96FDE"/>
    <w:rsid w:val="00C975BF"/>
    <w:rsid w:val="00CA0C7A"/>
    <w:rsid w:val="00CA0D19"/>
    <w:rsid w:val="00CA40E0"/>
    <w:rsid w:val="00CB1D2B"/>
    <w:rsid w:val="00CB3D22"/>
    <w:rsid w:val="00CB4A8C"/>
    <w:rsid w:val="00CB4E6E"/>
    <w:rsid w:val="00CB61A0"/>
    <w:rsid w:val="00CC37BE"/>
    <w:rsid w:val="00CC3F35"/>
    <w:rsid w:val="00CC64F1"/>
    <w:rsid w:val="00CD0448"/>
    <w:rsid w:val="00CD2475"/>
    <w:rsid w:val="00CD7261"/>
    <w:rsid w:val="00CD74FF"/>
    <w:rsid w:val="00CD7C8D"/>
    <w:rsid w:val="00CD7F3E"/>
    <w:rsid w:val="00CE28C3"/>
    <w:rsid w:val="00CE3B93"/>
    <w:rsid w:val="00CE44AB"/>
    <w:rsid w:val="00CE50F9"/>
    <w:rsid w:val="00CE7D4E"/>
    <w:rsid w:val="00CF5A21"/>
    <w:rsid w:val="00CF60C0"/>
    <w:rsid w:val="00CF7148"/>
    <w:rsid w:val="00D012DE"/>
    <w:rsid w:val="00D03790"/>
    <w:rsid w:val="00D04FCB"/>
    <w:rsid w:val="00D0588C"/>
    <w:rsid w:val="00D074DD"/>
    <w:rsid w:val="00D079EC"/>
    <w:rsid w:val="00D12E1B"/>
    <w:rsid w:val="00D16F80"/>
    <w:rsid w:val="00D2417F"/>
    <w:rsid w:val="00D255B8"/>
    <w:rsid w:val="00D257C5"/>
    <w:rsid w:val="00D257D1"/>
    <w:rsid w:val="00D277B1"/>
    <w:rsid w:val="00D27F5F"/>
    <w:rsid w:val="00D3077F"/>
    <w:rsid w:val="00D3296B"/>
    <w:rsid w:val="00D335FC"/>
    <w:rsid w:val="00D3498C"/>
    <w:rsid w:val="00D34A69"/>
    <w:rsid w:val="00D34D53"/>
    <w:rsid w:val="00D4132C"/>
    <w:rsid w:val="00D4215C"/>
    <w:rsid w:val="00D45B87"/>
    <w:rsid w:val="00D4656A"/>
    <w:rsid w:val="00D4656E"/>
    <w:rsid w:val="00D46CB2"/>
    <w:rsid w:val="00D502A2"/>
    <w:rsid w:val="00D50423"/>
    <w:rsid w:val="00D50AA6"/>
    <w:rsid w:val="00D55E3B"/>
    <w:rsid w:val="00D60640"/>
    <w:rsid w:val="00D63F44"/>
    <w:rsid w:val="00D64ECD"/>
    <w:rsid w:val="00D76FEB"/>
    <w:rsid w:val="00D81E1C"/>
    <w:rsid w:val="00D85D83"/>
    <w:rsid w:val="00D870C6"/>
    <w:rsid w:val="00D87F36"/>
    <w:rsid w:val="00D90307"/>
    <w:rsid w:val="00D90B70"/>
    <w:rsid w:val="00D90DFD"/>
    <w:rsid w:val="00D910AB"/>
    <w:rsid w:val="00D914A2"/>
    <w:rsid w:val="00D919B2"/>
    <w:rsid w:val="00D91BE9"/>
    <w:rsid w:val="00D93566"/>
    <w:rsid w:val="00D93C42"/>
    <w:rsid w:val="00D93CF2"/>
    <w:rsid w:val="00D942B0"/>
    <w:rsid w:val="00DA2B93"/>
    <w:rsid w:val="00DA4AA0"/>
    <w:rsid w:val="00DA5A42"/>
    <w:rsid w:val="00DB0947"/>
    <w:rsid w:val="00DB32CC"/>
    <w:rsid w:val="00DB37AC"/>
    <w:rsid w:val="00DB40C1"/>
    <w:rsid w:val="00DB7FDA"/>
    <w:rsid w:val="00DC02A1"/>
    <w:rsid w:val="00DC2546"/>
    <w:rsid w:val="00DC4573"/>
    <w:rsid w:val="00DD242F"/>
    <w:rsid w:val="00DE0B4A"/>
    <w:rsid w:val="00DE37C8"/>
    <w:rsid w:val="00DE3DF9"/>
    <w:rsid w:val="00DE472B"/>
    <w:rsid w:val="00DE4DB1"/>
    <w:rsid w:val="00DE5A74"/>
    <w:rsid w:val="00DE73F2"/>
    <w:rsid w:val="00DF22CE"/>
    <w:rsid w:val="00DF261D"/>
    <w:rsid w:val="00DF5E14"/>
    <w:rsid w:val="00E012E3"/>
    <w:rsid w:val="00E051C7"/>
    <w:rsid w:val="00E066EA"/>
    <w:rsid w:val="00E07ED7"/>
    <w:rsid w:val="00E1161A"/>
    <w:rsid w:val="00E12B93"/>
    <w:rsid w:val="00E136A2"/>
    <w:rsid w:val="00E15F63"/>
    <w:rsid w:val="00E16BEE"/>
    <w:rsid w:val="00E16D0C"/>
    <w:rsid w:val="00E170C7"/>
    <w:rsid w:val="00E1768E"/>
    <w:rsid w:val="00E23906"/>
    <w:rsid w:val="00E24B33"/>
    <w:rsid w:val="00E26B41"/>
    <w:rsid w:val="00E30BD2"/>
    <w:rsid w:val="00E311EF"/>
    <w:rsid w:val="00E3299B"/>
    <w:rsid w:val="00E331E6"/>
    <w:rsid w:val="00E332EF"/>
    <w:rsid w:val="00E343BB"/>
    <w:rsid w:val="00E34699"/>
    <w:rsid w:val="00E35996"/>
    <w:rsid w:val="00E403D0"/>
    <w:rsid w:val="00E421DA"/>
    <w:rsid w:val="00E4505A"/>
    <w:rsid w:val="00E50405"/>
    <w:rsid w:val="00E50ED5"/>
    <w:rsid w:val="00E532F1"/>
    <w:rsid w:val="00E55170"/>
    <w:rsid w:val="00E55828"/>
    <w:rsid w:val="00E558B0"/>
    <w:rsid w:val="00E57EC0"/>
    <w:rsid w:val="00E6179E"/>
    <w:rsid w:val="00E67EFE"/>
    <w:rsid w:val="00E73E52"/>
    <w:rsid w:val="00E746B9"/>
    <w:rsid w:val="00E80889"/>
    <w:rsid w:val="00E8156B"/>
    <w:rsid w:val="00E82492"/>
    <w:rsid w:val="00E8417E"/>
    <w:rsid w:val="00E842C1"/>
    <w:rsid w:val="00E848D8"/>
    <w:rsid w:val="00E85301"/>
    <w:rsid w:val="00E879A7"/>
    <w:rsid w:val="00E87F8E"/>
    <w:rsid w:val="00E90314"/>
    <w:rsid w:val="00E909B4"/>
    <w:rsid w:val="00E91E42"/>
    <w:rsid w:val="00E97409"/>
    <w:rsid w:val="00EA1839"/>
    <w:rsid w:val="00EA2BAD"/>
    <w:rsid w:val="00EA3AF1"/>
    <w:rsid w:val="00EA6408"/>
    <w:rsid w:val="00EB3757"/>
    <w:rsid w:val="00EB4D6C"/>
    <w:rsid w:val="00EB66C6"/>
    <w:rsid w:val="00EB7608"/>
    <w:rsid w:val="00EB7ACF"/>
    <w:rsid w:val="00EC219D"/>
    <w:rsid w:val="00EC277E"/>
    <w:rsid w:val="00EC2875"/>
    <w:rsid w:val="00EC36D9"/>
    <w:rsid w:val="00EC41D9"/>
    <w:rsid w:val="00EC4838"/>
    <w:rsid w:val="00EC7D46"/>
    <w:rsid w:val="00ED1FBB"/>
    <w:rsid w:val="00ED2CF3"/>
    <w:rsid w:val="00ED303F"/>
    <w:rsid w:val="00ED3FC9"/>
    <w:rsid w:val="00ED5382"/>
    <w:rsid w:val="00ED552D"/>
    <w:rsid w:val="00ED570E"/>
    <w:rsid w:val="00EE05D3"/>
    <w:rsid w:val="00EE1FE4"/>
    <w:rsid w:val="00EE3766"/>
    <w:rsid w:val="00EE5BF9"/>
    <w:rsid w:val="00EF0261"/>
    <w:rsid w:val="00EF1123"/>
    <w:rsid w:val="00EF1211"/>
    <w:rsid w:val="00EF29E0"/>
    <w:rsid w:val="00EF3DD1"/>
    <w:rsid w:val="00EF40A7"/>
    <w:rsid w:val="00EF4E11"/>
    <w:rsid w:val="00EF5336"/>
    <w:rsid w:val="00EF66E8"/>
    <w:rsid w:val="00EF7F07"/>
    <w:rsid w:val="00F05B7B"/>
    <w:rsid w:val="00F06A11"/>
    <w:rsid w:val="00F1071B"/>
    <w:rsid w:val="00F137BC"/>
    <w:rsid w:val="00F14B46"/>
    <w:rsid w:val="00F17AA1"/>
    <w:rsid w:val="00F17C58"/>
    <w:rsid w:val="00F23CE1"/>
    <w:rsid w:val="00F24F5C"/>
    <w:rsid w:val="00F25AA4"/>
    <w:rsid w:val="00F32C62"/>
    <w:rsid w:val="00F32C72"/>
    <w:rsid w:val="00F3451C"/>
    <w:rsid w:val="00F4190B"/>
    <w:rsid w:val="00F42781"/>
    <w:rsid w:val="00F44065"/>
    <w:rsid w:val="00F73503"/>
    <w:rsid w:val="00F7513E"/>
    <w:rsid w:val="00F75DB1"/>
    <w:rsid w:val="00F75FC3"/>
    <w:rsid w:val="00F76E29"/>
    <w:rsid w:val="00F7720D"/>
    <w:rsid w:val="00F810B7"/>
    <w:rsid w:val="00F82E28"/>
    <w:rsid w:val="00F8501F"/>
    <w:rsid w:val="00F854F1"/>
    <w:rsid w:val="00F85721"/>
    <w:rsid w:val="00F87508"/>
    <w:rsid w:val="00F90042"/>
    <w:rsid w:val="00F901FA"/>
    <w:rsid w:val="00F90A72"/>
    <w:rsid w:val="00F95CF7"/>
    <w:rsid w:val="00F95DD6"/>
    <w:rsid w:val="00F97738"/>
    <w:rsid w:val="00FA24C7"/>
    <w:rsid w:val="00FA6757"/>
    <w:rsid w:val="00FA775C"/>
    <w:rsid w:val="00FA7E92"/>
    <w:rsid w:val="00FB035F"/>
    <w:rsid w:val="00FB0B78"/>
    <w:rsid w:val="00FB1AA6"/>
    <w:rsid w:val="00FB6FE6"/>
    <w:rsid w:val="00FB737F"/>
    <w:rsid w:val="00FC1175"/>
    <w:rsid w:val="00FC1307"/>
    <w:rsid w:val="00FC2AC3"/>
    <w:rsid w:val="00FC48C5"/>
    <w:rsid w:val="00FD0CFA"/>
    <w:rsid w:val="00FD30BC"/>
    <w:rsid w:val="00FD4268"/>
    <w:rsid w:val="00FD5A61"/>
    <w:rsid w:val="00FD611B"/>
    <w:rsid w:val="00FE10C9"/>
    <w:rsid w:val="00FE1761"/>
    <w:rsid w:val="00FE229F"/>
    <w:rsid w:val="00FE39A1"/>
    <w:rsid w:val="00FE42F1"/>
    <w:rsid w:val="00FF178A"/>
    <w:rsid w:val="00FF4F01"/>
    <w:rsid w:val="00FF6A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B58AF"/>
  <w15:docId w15:val="{785F6427-9EA3-413A-A903-9747ADB3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6CC"/>
    <w:pPr>
      <w:spacing w:after="0" w:line="240" w:lineRule="auto"/>
    </w:pPr>
    <w:rPr>
      <w:rFonts w:ascii="Times New Roman" w:eastAsia="Times New Roman" w:hAnsi="Times New Roman" w:cs="Arial"/>
      <w:szCs w:val="24"/>
    </w:rPr>
  </w:style>
  <w:style w:type="paragraph" w:styleId="Heading2">
    <w:name w:val="heading 2"/>
    <w:basedOn w:val="Normal"/>
    <w:next w:val="Normal"/>
    <w:link w:val="Heading2Char"/>
    <w:uiPriority w:val="9"/>
    <w:semiHidden/>
    <w:unhideWhenUsed/>
    <w:qFormat/>
    <w:rsid w:val="005031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H3,3,Heading 3 C"/>
    <w:basedOn w:val="Normal"/>
    <w:next w:val="Normal"/>
    <w:link w:val="Heading3Char"/>
    <w:qFormat/>
    <w:rsid w:val="00621EF0"/>
    <w:pPr>
      <w:keepNext/>
      <w:spacing w:after="240"/>
      <w:ind w:left="720"/>
      <w:outlineLvl w:val="2"/>
    </w:pPr>
    <w:rPr>
      <w:rFonts w:cs="Times New Roman"/>
      <w:b/>
      <w:bCs/>
      <w:i/>
      <w:iCs/>
      <w:szCs w:val="26"/>
      <w:lang w:val="x-none" w:eastAsia="x-none"/>
    </w:rPr>
  </w:style>
  <w:style w:type="paragraph" w:styleId="Heading7">
    <w:name w:val="heading 7"/>
    <w:basedOn w:val="Normal"/>
    <w:next w:val="Normal"/>
    <w:link w:val="Heading7Char"/>
    <w:uiPriority w:val="9"/>
    <w:semiHidden/>
    <w:unhideWhenUsed/>
    <w:qFormat/>
    <w:rsid w:val="00B56FA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6CC"/>
    <w:pPr>
      <w:tabs>
        <w:tab w:val="center" w:pos="4320"/>
        <w:tab w:val="right" w:pos="8640"/>
      </w:tabs>
    </w:pPr>
  </w:style>
  <w:style w:type="character" w:customStyle="1" w:styleId="FooterChar">
    <w:name w:val="Footer Char"/>
    <w:basedOn w:val="DefaultParagraphFont"/>
    <w:link w:val="Footer"/>
    <w:uiPriority w:val="99"/>
    <w:rsid w:val="008C76CC"/>
    <w:rPr>
      <w:rFonts w:ascii="Times New Roman" w:eastAsia="Times New Roman" w:hAnsi="Times New Roman" w:cs="Arial"/>
      <w:szCs w:val="24"/>
    </w:rPr>
  </w:style>
  <w:style w:type="paragraph" w:styleId="Title">
    <w:name w:val="Title"/>
    <w:aliases w:val="t"/>
    <w:basedOn w:val="Normal"/>
    <w:link w:val="TitleChar"/>
    <w:uiPriority w:val="10"/>
    <w:qFormat/>
    <w:rsid w:val="008C76CC"/>
    <w:pPr>
      <w:jc w:val="center"/>
    </w:pPr>
    <w:rPr>
      <w:b/>
      <w:bCs/>
      <w:sz w:val="20"/>
    </w:rPr>
  </w:style>
  <w:style w:type="character" w:customStyle="1" w:styleId="TitleChar">
    <w:name w:val="Title Char"/>
    <w:aliases w:val="t Char"/>
    <w:basedOn w:val="DefaultParagraphFont"/>
    <w:link w:val="Title"/>
    <w:uiPriority w:val="10"/>
    <w:rsid w:val="008C76CC"/>
    <w:rPr>
      <w:rFonts w:ascii="Times New Roman" w:eastAsia="Times New Roman" w:hAnsi="Times New Roman" w:cs="Arial"/>
      <w:b/>
      <w:bCs/>
      <w:sz w:val="20"/>
      <w:szCs w:val="24"/>
    </w:rPr>
  </w:style>
  <w:style w:type="character" w:styleId="PageNumber">
    <w:name w:val="page number"/>
    <w:basedOn w:val="DefaultParagraphFont"/>
    <w:rsid w:val="008C76CC"/>
    <w:rPr>
      <w:rFonts w:ascii="Times New Roman" w:hAnsi="Times New Roman"/>
      <w:sz w:val="20"/>
    </w:rPr>
  </w:style>
  <w:style w:type="paragraph" w:styleId="HTMLPreformatted">
    <w:name w:val="HTML Preformatted"/>
    <w:basedOn w:val="Normal"/>
    <w:link w:val="HTMLPreformattedChar"/>
    <w:rsid w:val="008C7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rPr>
  </w:style>
  <w:style w:type="character" w:customStyle="1" w:styleId="HTMLPreformattedChar">
    <w:name w:val="HTML Preformatted Char"/>
    <w:basedOn w:val="DefaultParagraphFont"/>
    <w:link w:val="HTMLPreformatted"/>
    <w:rsid w:val="008C76CC"/>
    <w:rPr>
      <w:rFonts w:ascii="Arial Unicode MS" w:eastAsia="Arial Unicode MS" w:hAnsi="Arial Unicode MS" w:cs="Times New Roman"/>
      <w:sz w:val="20"/>
      <w:szCs w:val="20"/>
    </w:rPr>
  </w:style>
  <w:style w:type="paragraph" w:styleId="Subtitle">
    <w:name w:val="Subtitle"/>
    <w:aliases w:val="st"/>
    <w:basedOn w:val="Normal"/>
    <w:link w:val="SubtitleChar"/>
    <w:qFormat/>
    <w:rsid w:val="008C76CC"/>
    <w:pPr>
      <w:ind w:right="-540"/>
      <w:jc w:val="center"/>
    </w:pPr>
    <w:rPr>
      <w:rFonts w:cs="Times New Roman"/>
      <w:b/>
    </w:rPr>
  </w:style>
  <w:style w:type="character" w:customStyle="1" w:styleId="SubtitleChar">
    <w:name w:val="Subtitle Char"/>
    <w:aliases w:val="st Char"/>
    <w:basedOn w:val="DefaultParagraphFont"/>
    <w:link w:val="Subtitle"/>
    <w:rsid w:val="008C76CC"/>
    <w:rPr>
      <w:rFonts w:ascii="Times New Roman" w:eastAsia="Times New Roman" w:hAnsi="Times New Roman" w:cs="Times New Roman"/>
      <w:b/>
      <w:szCs w:val="24"/>
    </w:rPr>
  </w:style>
  <w:style w:type="paragraph" w:styleId="NoSpacing">
    <w:name w:val="No Spacing"/>
    <w:uiPriority w:val="1"/>
    <w:qFormat/>
    <w:rsid w:val="008C76C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135BD"/>
    <w:pPr>
      <w:tabs>
        <w:tab w:val="center" w:pos="4680"/>
        <w:tab w:val="right" w:pos="9360"/>
      </w:tabs>
    </w:pPr>
  </w:style>
  <w:style w:type="character" w:customStyle="1" w:styleId="HeaderChar">
    <w:name w:val="Header Char"/>
    <w:basedOn w:val="DefaultParagraphFont"/>
    <w:link w:val="Header"/>
    <w:uiPriority w:val="99"/>
    <w:rsid w:val="000135BD"/>
    <w:rPr>
      <w:rFonts w:ascii="Times New Roman" w:eastAsia="Times New Roman" w:hAnsi="Times New Roman" w:cs="Arial"/>
      <w:szCs w:val="24"/>
    </w:rPr>
  </w:style>
  <w:style w:type="paragraph" w:styleId="BodyTextIndent">
    <w:name w:val="Body Text Indent"/>
    <w:basedOn w:val="Normal"/>
    <w:link w:val="BodyTextIndentChar"/>
    <w:uiPriority w:val="99"/>
    <w:rsid w:val="00785007"/>
    <w:pPr>
      <w:spacing w:after="240"/>
      <w:ind w:firstLine="720"/>
    </w:pPr>
    <w:rPr>
      <w:rFonts w:cs="Times New Roman"/>
    </w:rPr>
  </w:style>
  <w:style w:type="character" w:customStyle="1" w:styleId="BodyTextIndentChar">
    <w:name w:val="Body Text Indent Char"/>
    <w:basedOn w:val="DefaultParagraphFont"/>
    <w:link w:val="BodyTextIndent"/>
    <w:uiPriority w:val="99"/>
    <w:rsid w:val="00785007"/>
    <w:rPr>
      <w:rFonts w:ascii="Times New Roman" w:eastAsia="Times New Roman" w:hAnsi="Times New Roman" w:cs="Times New Roman"/>
      <w:szCs w:val="24"/>
    </w:rPr>
  </w:style>
  <w:style w:type="paragraph" w:customStyle="1" w:styleId="Bulletedlist">
    <w:name w:val="Bulleted list"/>
    <w:basedOn w:val="Normal"/>
    <w:rsid w:val="00785007"/>
    <w:pPr>
      <w:numPr>
        <w:numId w:val="1"/>
      </w:numPr>
      <w:spacing w:after="240"/>
    </w:pPr>
  </w:style>
  <w:style w:type="paragraph" w:styleId="NormalWeb">
    <w:name w:val="Normal (Web)"/>
    <w:aliases w:val="Style 57,Style 13"/>
    <w:basedOn w:val="Normal"/>
    <w:link w:val="NormalWebChar"/>
    <w:uiPriority w:val="99"/>
    <w:rsid w:val="0003060A"/>
    <w:pPr>
      <w:spacing w:before="100" w:beforeAutospacing="1" w:after="100" w:afterAutospacing="1"/>
    </w:pPr>
  </w:style>
  <w:style w:type="character" w:customStyle="1" w:styleId="NormalWebChar">
    <w:name w:val="Normal (Web) Char"/>
    <w:aliases w:val="Style 57 Char,Style 13 Char"/>
    <w:link w:val="NormalWeb"/>
    <w:uiPriority w:val="99"/>
    <w:locked/>
    <w:rsid w:val="0003060A"/>
    <w:rPr>
      <w:rFonts w:ascii="Times New Roman" w:eastAsia="Times New Roman" w:hAnsi="Times New Roman" w:cs="Arial"/>
      <w:szCs w:val="24"/>
    </w:rPr>
  </w:style>
  <w:style w:type="paragraph" w:styleId="BodyText">
    <w:name w:val="Body Text"/>
    <w:basedOn w:val="Normal"/>
    <w:link w:val="BodyTextChar"/>
    <w:uiPriority w:val="99"/>
    <w:semiHidden/>
    <w:unhideWhenUsed/>
    <w:rsid w:val="00E12B93"/>
    <w:pPr>
      <w:spacing w:after="120"/>
    </w:pPr>
  </w:style>
  <w:style w:type="character" w:customStyle="1" w:styleId="BodyTextChar">
    <w:name w:val="Body Text Char"/>
    <w:basedOn w:val="DefaultParagraphFont"/>
    <w:link w:val="BodyText"/>
    <w:uiPriority w:val="99"/>
    <w:semiHidden/>
    <w:rsid w:val="00E12B93"/>
    <w:rPr>
      <w:rFonts w:ascii="Times New Roman" w:eastAsia="Times New Roman" w:hAnsi="Times New Roman" w:cs="Arial"/>
      <w:szCs w:val="24"/>
    </w:rPr>
  </w:style>
  <w:style w:type="character" w:styleId="CommentReference">
    <w:name w:val="annotation reference"/>
    <w:basedOn w:val="DefaultParagraphFont"/>
    <w:uiPriority w:val="99"/>
    <w:unhideWhenUsed/>
    <w:rsid w:val="00E12B93"/>
    <w:rPr>
      <w:sz w:val="16"/>
      <w:szCs w:val="16"/>
    </w:rPr>
  </w:style>
  <w:style w:type="paragraph" w:styleId="CommentText">
    <w:name w:val="annotation text"/>
    <w:basedOn w:val="Normal"/>
    <w:link w:val="CommentTextChar"/>
    <w:uiPriority w:val="99"/>
    <w:unhideWhenUsed/>
    <w:rsid w:val="00E12B93"/>
    <w:rPr>
      <w:sz w:val="20"/>
      <w:szCs w:val="20"/>
    </w:rPr>
  </w:style>
  <w:style w:type="character" w:customStyle="1" w:styleId="CommentTextChar">
    <w:name w:val="Comment Text Char"/>
    <w:basedOn w:val="DefaultParagraphFont"/>
    <w:link w:val="CommentText"/>
    <w:uiPriority w:val="99"/>
    <w:rsid w:val="00E12B93"/>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E12B93"/>
    <w:rPr>
      <w:b/>
      <w:bCs/>
    </w:rPr>
  </w:style>
  <w:style w:type="character" w:customStyle="1" w:styleId="CommentSubjectChar">
    <w:name w:val="Comment Subject Char"/>
    <w:basedOn w:val="CommentTextChar"/>
    <w:link w:val="CommentSubject"/>
    <w:uiPriority w:val="99"/>
    <w:semiHidden/>
    <w:rsid w:val="00E12B93"/>
    <w:rPr>
      <w:rFonts w:ascii="Times New Roman" w:eastAsia="Times New Roman" w:hAnsi="Times New Roman" w:cs="Arial"/>
      <w:b/>
      <w:bCs/>
      <w:sz w:val="20"/>
      <w:szCs w:val="20"/>
    </w:rPr>
  </w:style>
  <w:style w:type="paragraph" w:styleId="BalloonText">
    <w:name w:val="Balloon Text"/>
    <w:basedOn w:val="Normal"/>
    <w:link w:val="BalloonTextChar"/>
    <w:uiPriority w:val="99"/>
    <w:semiHidden/>
    <w:unhideWhenUsed/>
    <w:rsid w:val="00E12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93"/>
    <w:rPr>
      <w:rFonts w:ascii="Segoe UI" w:eastAsia="Times New Roman" w:hAnsi="Segoe UI" w:cs="Segoe UI"/>
      <w:sz w:val="18"/>
      <w:szCs w:val="18"/>
    </w:rPr>
  </w:style>
  <w:style w:type="character" w:customStyle="1" w:styleId="Heading3Char">
    <w:name w:val="Heading 3 Char"/>
    <w:aliases w:val="h3 Char,H3 Char,3 Char,Heading 3 C Char"/>
    <w:basedOn w:val="DefaultParagraphFont"/>
    <w:link w:val="Heading3"/>
    <w:uiPriority w:val="9"/>
    <w:rsid w:val="00621EF0"/>
    <w:rPr>
      <w:rFonts w:ascii="Times New Roman" w:eastAsia="Times New Roman" w:hAnsi="Times New Roman" w:cs="Times New Roman"/>
      <w:b/>
      <w:bCs/>
      <w:i/>
      <w:iCs/>
      <w:szCs w:val="26"/>
      <w:lang w:val="x-none" w:eastAsia="x-none"/>
    </w:rPr>
  </w:style>
  <w:style w:type="character" w:customStyle="1" w:styleId="Heading2Char">
    <w:name w:val="Heading 2 Char"/>
    <w:basedOn w:val="DefaultParagraphFont"/>
    <w:link w:val="Heading2"/>
    <w:uiPriority w:val="9"/>
    <w:semiHidden/>
    <w:rsid w:val="00503142"/>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uiPriority w:val="99"/>
    <w:semiHidden/>
    <w:unhideWhenUsed/>
    <w:rsid w:val="00CF60C0"/>
    <w:pPr>
      <w:spacing w:after="120" w:line="480" w:lineRule="auto"/>
    </w:pPr>
  </w:style>
  <w:style w:type="character" w:customStyle="1" w:styleId="BodyText2Char">
    <w:name w:val="Body Text 2 Char"/>
    <w:basedOn w:val="DefaultParagraphFont"/>
    <w:link w:val="BodyText2"/>
    <w:uiPriority w:val="99"/>
    <w:semiHidden/>
    <w:rsid w:val="00CF60C0"/>
    <w:rPr>
      <w:rFonts w:ascii="Times New Roman" w:eastAsia="Times New Roman" w:hAnsi="Times New Roman" w:cs="Arial"/>
      <w:szCs w:val="24"/>
    </w:rPr>
  </w:style>
  <w:style w:type="character" w:customStyle="1" w:styleId="NormalWebChar1">
    <w:name w:val="Normal (Web) Char1"/>
    <w:aliases w:val="Style 57 Char1,Style 13 Char1"/>
    <w:uiPriority w:val="99"/>
    <w:locked/>
    <w:rsid w:val="00543716"/>
    <w:rPr>
      <w:rFonts w:cs="Arial"/>
      <w:sz w:val="22"/>
      <w:szCs w:val="24"/>
    </w:rPr>
  </w:style>
  <w:style w:type="paragraph" w:styleId="ListParagraph">
    <w:name w:val="List Paragraph"/>
    <w:basedOn w:val="Normal"/>
    <w:uiPriority w:val="34"/>
    <w:qFormat/>
    <w:rsid w:val="0043284F"/>
    <w:pPr>
      <w:spacing w:after="160" w:line="259" w:lineRule="auto"/>
      <w:ind w:left="720"/>
      <w:contextualSpacing/>
    </w:pPr>
    <w:rPr>
      <w:rFonts w:asciiTheme="minorHAnsi" w:eastAsiaTheme="minorHAnsi" w:hAnsiTheme="minorHAnsi" w:cstheme="minorBidi"/>
      <w:szCs w:val="22"/>
    </w:rPr>
  </w:style>
  <w:style w:type="paragraph" w:customStyle="1" w:styleId="rrdsinglerule">
    <w:name w:val="rrdsinglerule"/>
    <w:basedOn w:val="Normal"/>
    <w:next w:val="Normal"/>
    <w:rsid w:val="00B7071B"/>
    <w:pPr>
      <w:pBdr>
        <w:top w:val="single" w:sz="8" w:space="1" w:color="auto"/>
      </w:pBdr>
      <w:spacing w:before="20" w:line="20" w:lineRule="exact"/>
      <w:jc w:val="center"/>
    </w:pPr>
    <w:rPr>
      <w:rFonts w:cs="Times New Roman"/>
      <w:sz w:val="8"/>
      <w:szCs w:val="8"/>
    </w:rPr>
  </w:style>
  <w:style w:type="paragraph" w:customStyle="1" w:styleId="rrddoublerule">
    <w:name w:val="rrddoublerule"/>
    <w:basedOn w:val="rrdsinglerule"/>
    <w:rsid w:val="00B7071B"/>
    <w:pPr>
      <w:pBdr>
        <w:top w:val="double" w:sz="6" w:space="1" w:color="auto"/>
      </w:pBdr>
    </w:pPr>
  </w:style>
  <w:style w:type="paragraph" w:customStyle="1" w:styleId="la2">
    <w:name w:val="la2"/>
    <w:basedOn w:val="Normal"/>
    <w:next w:val="Normal"/>
    <w:rsid w:val="00B7071B"/>
    <w:pPr>
      <w:spacing w:line="40" w:lineRule="exact"/>
    </w:pPr>
    <w:rPr>
      <w:rFonts w:cs="Times New Roman"/>
      <w:noProof/>
      <w:sz w:val="8"/>
      <w:szCs w:val="8"/>
    </w:rPr>
  </w:style>
  <w:style w:type="paragraph" w:customStyle="1" w:styleId="16">
    <w:name w:val="16"/>
    <w:basedOn w:val="Normal"/>
    <w:rsid w:val="00EE3766"/>
    <w:pPr>
      <w:keepNext/>
      <w:jc w:val="both"/>
    </w:pPr>
    <w:rPr>
      <w:rFonts w:ascii="Arial" w:hAnsi="Arial" w:cs="Times New Roman"/>
      <w:b/>
      <w:sz w:val="20"/>
      <w:szCs w:val="20"/>
    </w:rPr>
  </w:style>
  <w:style w:type="paragraph" w:customStyle="1" w:styleId="5">
    <w:name w:val="5"/>
    <w:basedOn w:val="Normal"/>
    <w:rsid w:val="00EE3766"/>
    <w:pPr>
      <w:tabs>
        <w:tab w:val="left" w:pos="6300"/>
        <w:tab w:val="decimal" w:pos="7650"/>
        <w:tab w:val="left" w:pos="8010"/>
        <w:tab w:val="decimal" w:pos="9360"/>
      </w:tabs>
      <w:jc w:val="both"/>
    </w:pPr>
    <w:rPr>
      <w:rFonts w:ascii="Arial" w:hAnsi="Arial" w:cs="Times New Roman"/>
      <w:sz w:val="20"/>
      <w:szCs w:val="20"/>
    </w:rPr>
  </w:style>
  <w:style w:type="paragraph" w:customStyle="1" w:styleId="4">
    <w:name w:val="4"/>
    <w:basedOn w:val="Normal"/>
    <w:rsid w:val="00EE3766"/>
    <w:pPr>
      <w:tabs>
        <w:tab w:val="left" w:pos="6480"/>
        <w:tab w:val="decimal" w:pos="7740"/>
        <w:tab w:val="left" w:pos="8100"/>
        <w:tab w:val="decimal" w:pos="9360"/>
      </w:tabs>
      <w:jc w:val="both"/>
    </w:pPr>
    <w:rPr>
      <w:rFonts w:ascii="Arial" w:hAnsi="Arial" w:cs="Times New Roman"/>
      <w:sz w:val="20"/>
      <w:szCs w:val="20"/>
    </w:rPr>
  </w:style>
  <w:style w:type="paragraph" w:customStyle="1" w:styleId="4a">
    <w:name w:val="4a"/>
    <w:basedOn w:val="Normal"/>
    <w:rsid w:val="00EE3766"/>
    <w:pPr>
      <w:tabs>
        <w:tab w:val="center" w:pos="7110"/>
        <w:tab w:val="center" w:pos="8730"/>
      </w:tabs>
      <w:jc w:val="both"/>
    </w:pPr>
    <w:rPr>
      <w:rFonts w:ascii="Arial" w:hAnsi="Arial" w:cs="Times New Roman"/>
      <w:sz w:val="20"/>
      <w:szCs w:val="20"/>
    </w:rPr>
  </w:style>
  <w:style w:type="table" w:styleId="TableGrid">
    <w:name w:val="Table Grid"/>
    <w:basedOn w:val="TableNormal"/>
    <w:uiPriority w:val="59"/>
    <w:rsid w:val="00EE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B56FAA"/>
    <w:rPr>
      <w:rFonts w:asciiTheme="majorHAnsi" w:eastAsiaTheme="majorEastAsia" w:hAnsiTheme="majorHAnsi" w:cstheme="majorBidi"/>
      <w:i/>
      <w:iCs/>
      <w:color w:val="1F3763" w:themeColor="accent1" w:themeShade="7F"/>
      <w:szCs w:val="24"/>
    </w:rPr>
  </w:style>
  <w:style w:type="paragraph" w:customStyle="1" w:styleId="FirstIndentbodytext">
    <w:name w:val="First Indent body text"/>
    <w:basedOn w:val="Normal"/>
    <w:rsid w:val="00B56FAA"/>
    <w:pPr>
      <w:autoSpaceDE w:val="0"/>
      <w:autoSpaceDN w:val="0"/>
      <w:ind w:firstLine="720"/>
    </w:pPr>
    <w:rPr>
      <w:szCs w:val="17"/>
    </w:rPr>
  </w:style>
  <w:style w:type="paragraph" w:styleId="Revision">
    <w:name w:val="Revision"/>
    <w:hidden/>
    <w:uiPriority w:val="99"/>
    <w:semiHidden/>
    <w:rsid w:val="004F2C55"/>
    <w:pPr>
      <w:spacing w:after="0" w:line="240" w:lineRule="auto"/>
    </w:pPr>
    <w:rPr>
      <w:rFonts w:ascii="Times New Roman" w:eastAsia="Times New Roman" w:hAnsi="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00035">
      <w:bodyDiv w:val="1"/>
      <w:marLeft w:val="0"/>
      <w:marRight w:val="0"/>
      <w:marTop w:val="0"/>
      <w:marBottom w:val="0"/>
      <w:divBdr>
        <w:top w:val="none" w:sz="0" w:space="0" w:color="auto"/>
        <w:left w:val="none" w:sz="0" w:space="0" w:color="auto"/>
        <w:bottom w:val="none" w:sz="0" w:space="0" w:color="auto"/>
        <w:right w:val="none" w:sz="0" w:space="0" w:color="auto"/>
      </w:divBdr>
    </w:div>
    <w:div w:id="18091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tiveLinkData xmlns:i="http://www.w3.org/2001/XMLSchema-instance" xmlns="http://www.rrdonnelley.com/programs/activelink/data">
  <CreatedApplicationName>DFS ActiveLink Word Add-in</CreatedApplicationName>
  <CreatedApplicationVersion>2.5.9.2</CreatedApplicationVersion>
  <CreatedBy>G-0183\Administrator</CreatedBy>
  <CreatedDate>2020-07-01T05:49:50.7827276Z</CreatedDate>
  <ModifiedApplicationName>DFS ActiveLink Word Add-in</ModifiedApplicationName>
  <ModifiedApplicationVersion>2.5.9.2</ModifiedApplicationVersion>
  <ModifiedBy>BOGOTASAVINGS\bmccourt</ModifiedBy>
  <LastSavedDate>2020-10-28T16:22:13.5362821Z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left</TableAlignment>
  </DefaultPreferences>
  <ContentControls>
    <ContentControlData>
      <CreatedApplicationName>DFS ActiveLink Word Add-in</CreatedApplicationName>
      <CreatedApplicationVersion>2.5.9.2</CreatedApplicationVersion>
      <CreatedBy>G-0183\Administrator</CreatedBy>
      <CreatedDate>2020-07-01T05:50:45.630459Z</CreatedDate>
      <ModifiedApplicationName>DFS ActiveLink Word Add-in</ModifiedApplicationName>
      <ModifiedApplicationVersion>2.5.9.2</ModifiedApplicationVersion>
      <ModifiedBy>BOGOTASAVINGS\bmccourt</ModifiedBy>
      <LastSavedDate>2020-10-22T19:36:09.3312998Z</LastSavedDate>
      <BrokenBy i:nil="true"/>
      <BrokenDate>0001-01-01T00:00:00</BrokenDate>
      <CreatedByOperation>Add</CreatedByOperation>
      <ExcelText i:nil="true"/>
      <ExcelValue2 i:nil="true"/>
      <IsBroken>false</IsBroken>
      <ModifiedByOperation>Refresh</ModifiedByOperation>
      <Prefs i:nil="true"/>
      <SdtTitle>AL-EX991_T3 - BSBK_Workbook</SdtTitle>
      <SdtTag>ebbb96d2-eb3c-40df-9701-fe2f8d84b9a1</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EX991_T3</ExcelRangeName>
      <ExcelRange>
        <Left>1</Left>
        <Top>1</Top>
        <Right>8</Right>
        <Bottom>22</Bottom>
      </ExcelRange>
      <WorkbookAbsoluteFilePath>https://app.activedisclosure.com/sites/bsbk/b864710a5e414b339973b742c83e12ad/Project Document Library/Excel Workbooks/BSBK_Workbook.xlsx</WorkbookAbsoluteFilePath>
      <WorkbookRelativeFilePath>../../../b864710a5e414b339973b742c83e12ad/Project%20Document%20Library/Excel%20Workbooks/BSBK_Workbook.xlsx</WorkbookRelativeFilePath>
      <WorksheetName>EX991_T3</WorksheetName>
      <TableWidthType>Percent100</TableWidthType>
      <TableWidthPercent>100</TableWidthPercent>
      <ExcelColumnData>
        <ExcelColumnData>
          <ExcelColumnIndex>0</ExcelColumnIndex>
          <WordColumnCount>1</WordColumnCount>
          <Hidden>false</Hidden>
          <WidthInTwips>8013.333</WidthInTwips>
        </ExcelColumnData>
        <ExcelColumnData>
          <ExcelColumnIndex>1</ExcelColumnIndex>
          <WordColumnCount>3</WordColumnCount>
          <Hidden>false</Hidden>
          <WidthInTwips>1780.00012</WidthInTwips>
        </ExcelColumnData>
        <ExcelColumnData>
          <ExcelColumnIndex>2</ExcelColumnIndex>
          <WordColumnCount>1</WordColumnCount>
          <Hidden>false</Hidden>
          <WidthInTwips>193.333344</WidthInTwips>
        </ExcelColumnData>
        <ExcelColumnData>
          <ExcelColumnIndex>3</ExcelColumnIndex>
          <WordColumnCount>3</WordColumnCount>
          <Hidden>false</Hidden>
          <WidthInTwips>1780.00012</WidthInTwips>
        </ExcelColumnData>
        <ExcelColumnData>
          <ExcelColumnIndex>4</ExcelColumnIndex>
          <WordColumnCount>1</WordColumnCount>
          <Hidden>false</Hidden>
          <WidthInTwips>193.333344</WidthInTwips>
        </ExcelColumnData>
        <ExcelColumnData>
          <ExcelColumnIndex>5</ExcelColumnIndex>
          <WordColumnCount>3</WordColumnCount>
          <Hidden>false</Hidden>
          <WidthInTwips>1780.00012</WidthInTwips>
        </ExcelColumnData>
        <ExcelColumnData>
          <ExcelColumnIndex>6</ExcelColumnIndex>
          <WordColumnCount>1</WordColumnCount>
          <Hidden>false</Hidden>
          <WidthInTwips>193.333344</WidthInTwips>
        </ExcelColumnData>
        <ExcelColumnData>
          <ExcelColumnIndex>7</ExcelColumnIndex>
          <WordColumnCount>3</WordColumnCount>
          <Hidden>false</Hidden>
          <WidthInTwips>1780.00012</WidthInTwips>
        </ExcelColumnData>
      </ExcelColumnData>
      <ExcelMergedAreas>
        <Rectangle>
          <Left>2</Left>
          <Top>1</Top>
          <Right>4</Right>
          <Bottom>1</Bottom>
        </Rectangle>
        <Rectangle>
          <Left>6</Left>
          <Top>1</Top>
          <Right>8</Right>
          <Bottom>1</Bottom>
        </Rectangle>
      </ExcelMergedAreas>
      <ExcelHiddenRows xmlns:d4p1="http://schemas.microsoft.com/2003/10/Serialization/Arrays"/>
    </ContentControlData>
    <ContentControlData>
      <CreatedApplicationName>DFS ActiveLink Word Add-in</CreatedApplicationName>
      <CreatedApplicationVersion>2.5.9.2</CreatedApplicationVersion>
      <CreatedBy>BOGOTASAVINGS\bmccourt</CreatedBy>
      <CreatedDate>2020-07-14T19:09:51.2158624Z</CreatedDate>
      <ModifiedApplicationName>DFS ActiveLink Word Add-in</ModifiedApplicationName>
      <ModifiedApplicationVersion>2.5.9.2</ModifiedApplicationVersion>
      <ModifiedBy>BOGOTASAVINGS\bmccourt</ModifiedBy>
      <LastSavedDate>2020-10-16T15:12:27.7618728Z</LastSavedDate>
      <BrokenBy i:nil="true"/>
      <BrokenDate>0001-01-01T00:00:00</BrokenDate>
      <CreatedByOperation>Add</CreatedByOperation>
      <ExcelText i:nil="true"/>
      <ExcelValue2 i:nil="true"/>
      <IsBroken>false</IsBroken>
      <ModifiedByOperation>Refresh</ModifiedByOperation>
      <Prefs i:nil="true"/>
      <SdtTitle>AL-FS_Financial_Condition - BSBK_Workbook</SdtTitle>
      <SdtTag>1461532a-3023-40a8-89ae-0e5e8d0cda2c</SdtTag>
      <Preferences>
        <TextForceFontBlack>true</TextForceFontBlack>
        <TextForceFontName>Calibri</TextForceFontNam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center</TableAlignment>
      </Preferences>
      <ExcelRangeName>FS_Financial_Condition</ExcelRangeName>
      <ExcelRange>
        <Left>1</Left>
        <Top>1</Top>
        <Right>5</Right>
        <Bottom>34</Bottom>
      </ExcelRange>
      <WorkbookAbsoluteFilePath>https://app.activedisclosure.com/sites/bsbk/b864710a5e414b339973b742c83e12ad/Project Document Library/Excel Workbooks/BSBK_Workbook.xlsx</WorkbookAbsoluteFilePath>
      <WorkbookRelativeFilePath>../../../b864710a5e414b339973b742c83e12ad/Project%20Document%20Library/Excel%20Workbooks/BSBK_Workbook.xlsx</WorkbookRelativeFilePath>
      <WorksheetName>FS_Financial_Condition</WorksheetName>
      <TableWidthType>Percent100</TableWidthType>
      <TableWidthPercent>100</TableWidthPercent>
      <ExcelColumnData>
        <ExcelColumnData>
          <ExcelColumnIndex>0</ExcelColumnIndex>
          <WordColumnCount>1</WordColumnCount>
          <Hidden>false</Hidden>
          <WidthInTwips>7425</WidthInTwips>
        </ExcelColumnData>
        <ExcelColumnData>
          <ExcelColumnIndex>1</ExcelColumnIndex>
          <WordColumnCount>1</WordColumnCount>
          <Hidden>false</Hidden>
          <WidthInTwips>180</WidthInTwips>
        </ExcelColumnData>
        <ExcelColumnData>
          <ExcelColumnIndex>2</ExcelColumnIndex>
          <WordColumnCount>3</WordColumnCount>
          <Hidden>false</Hidden>
          <WidthInTwips>1650</WidthInTwips>
        </ExcelColumnData>
        <ExcelColumnData>
          <ExcelColumnIndex>3</ExcelColumnIndex>
          <WordColumnCount>1</WordColumnCount>
          <Hidden>false</Hidden>
          <WidthInTwips>180</WidthInTwips>
        </ExcelColumnData>
        <ExcelColumnData>
          <ExcelColumnIndex>4</ExcelColumnIndex>
          <WordColumnCount>3</WordColumnCount>
          <Hidden>false</Hidden>
          <WidthInTwips>1650</WidthInTwips>
        </ExcelColumnData>
      </ExcelColumnData>
      <ExcelMergedAreas/>
      <ExcelHiddenRows xmlns:d4p1="http://schemas.microsoft.com/2003/10/Serialization/Arrays"/>
    </ContentControlData>
    <ContentControlData>
      <CreatedApplicationName>DFS ActiveLink Word Add-in</CreatedApplicationName>
      <CreatedApplicationVersion>2.5.9.2</CreatedApplicationVersion>
      <CreatedBy>BOGOTASAVINGS\bmccourt</CreatedBy>
      <CreatedDate>2020-07-14T19:12:01.9324438Z</CreatedDate>
      <ModifiedApplicationName>DFS ActiveLink Word Add-in</ModifiedApplicationName>
      <ModifiedApplicationVersion>2.5.9.2</ModifiedApplicationVersion>
      <ModifiedBy>BOGOTASAVINGS\bmccourt</ModifiedBy>
      <LastSavedDate>2020-10-14T14:30:05.2004536Z</LastSavedDate>
      <BrokenBy i:nil="true"/>
      <BrokenDate>0001-01-01T00:00:00</BrokenDate>
      <CreatedByOperation>Add</CreatedByOperation>
      <ExcelText i:nil="true"/>
      <ExcelValue2 i:nil="true"/>
      <IsBroken>false</IsBroken>
      <ModifiedByOperation>Refresh</ModifiedByOperation>
      <Prefs i:nil="true"/>
      <SdtTitle>AL-FS_Stmt_Income - BSBK_Workbook</SdtTitle>
      <SdtTag>a9f197cf-1fb2-4666-876d-562266d73e8f</SdtTag>
      <Preferences>
        <TextForceFontBlack>true</TextForceFontBlack>
        <TextForceFontName>Calibri</TextForceFontNam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center</TableAlignment>
      </Preferences>
      <ExcelRangeName>FS_Stmt_Income</ExcelRangeName>
      <ExcelRange>
        <Left>1</Left>
        <Top>1</Top>
        <Right>9</Right>
        <Bottom>38</Bottom>
      </ExcelRange>
      <WorkbookAbsoluteFilePath>https://app.activedisclosure.com/sites/bsbk/b864710a5e414b339973b742c83e12ad/Project Document Library/Excel Workbooks/BSBK_Workbook.xlsx</WorkbookAbsoluteFilePath>
      <WorkbookRelativeFilePath>../../../b864710a5e414b339973b742c83e12ad/Project%20Document%20Library/Excel%20Workbooks/BSBK_Workbook.xlsx</WorkbookRelativeFilePath>
      <WorksheetName>FS_Stmt_Income</WorksheetName>
      <TableWidthType>Percent100</TableWidthType>
      <TableWidthPercent>100</TableWidthPercent>
      <ExcelColumnData>
        <ExcelColumnData>
          <ExcelColumnIndex>0</ExcelColumnIndex>
          <WordColumnCount>1</WordColumnCount>
          <Hidden>false</Hidden>
          <WidthInTwips>7425</WidthInTwips>
        </ExcelColumnData>
        <ExcelColumnData>
          <ExcelColumnIndex>1</ExcelColumnIndex>
          <WordColumnCount>1</WordColumnCount>
          <Hidden>false</Hidden>
          <WidthInTwips>180</WidthInTwips>
        </ExcelColumnData>
        <ExcelColumnData>
          <ExcelColumnIndex>2</ExcelColumnIndex>
          <WordColumnCount>3</WordColumnCount>
          <Hidden>false</Hidden>
          <WidthInTwips>1650</WidthInTwips>
        </ExcelColumnData>
        <ExcelColumnData>
          <ExcelColumnIndex>3</ExcelColumnIndex>
          <WordColumnCount>1</WordColumnCount>
          <Hidden>false</Hidden>
          <WidthInTwips>180</WidthInTwips>
        </ExcelColumnData>
        <ExcelColumnData>
          <ExcelColumnIndex>4</ExcelColumnIndex>
          <WordColumnCount>3</WordColumnCount>
          <Hidden>false</Hidden>
          <WidthInTwips>1650</WidthInTwips>
        </ExcelColumnData>
        <ExcelColumnData>
          <ExcelColumnIndex>5</ExcelColumnIndex>
          <WordColumnCount>1</WordColumnCount>
          <Hidden>false</Hidden>
          <WidthInTwips>180</WidthInTwips>
        </ExcelColumnData>
        <ExcelColumnData>
          <ExcelColumnIndex>6</ExcelColumnIndex>
          <WordColumnCount>3</WordColumnCount>
          <Hidden>false</Hidden>
          <WidthInTwips>1650</WidthInTwips>
        </ExcelColumnData>
        <ExcelColumnData>
          <ExcelColumnIndex>7</ExcelColumnIndex>
          <WordColumnCount>1</WordColumnCount>
          <Hidden>false</Hidden>
          <WidthInTwips>180</WidthInTwips>
        </ExcelColumnData>
        <ExcelColumnData>
          <ExcelColumnIndex>8</ExcelColumnIndex>
          <WordColumnCount>3</WordColumnCount>
          <Hidden>false</Hidden>
          <WidthInTwips>1650</WidthInTwips>
        </ExcelColumnData>
      </ExcelColumnData>
      <ExcelMergedAreas>
        <Rectangle>
          <Left>3</Left>
          <Top>1</Top>
          <Right>5</Right>
          <Bottom>1</Bottom>
        </Rectangle>
        <Rectangle>
          <Left>7</Left>
          <Top>1</Top>
          <Right>9</Right>
          <Bottom>1</Bottom>
        </Rectangle>
        <Rectangle>
          <Left>3</Left>
          <Top>3</Top>
          <Right>9</Right>
          <Bottom>3</Bottom>
        </Rectangle>
      </ExcelMergedAreas>
      <ExcelHiddenRows xmlns:d4p1="http://schemas.microsoft.com/2003/10/Serialization/Arrays"/>
    </ContentControlData>
    <ContentControlData>
      <CreatedApplicationName>DFS ActiveLink Word Add-in</CreatedApplicationName>
      <CreatedApplicationVersion>2.5.9.2</CreatedApplicationVersion>
      <CreatedBy>BOGOTASAVINGS\bmccourt</CreatedBy>
      <CreatedDate>2020-07-30T17:32:12.8435127Z</CreatedDate>
      <ModifiedApplicationName>DFS ActiveLink Word Add-in</ModifiedApplicationName>
      <ModifiedApplicationVersion>2.5.9.2</ModifiedApplicationVersion>
      <ModifiedBy>BOGOTASAVINGS\bmccourt</ModifiedBy>
      <LastSavedDate>2020-10-22T20:36:54.7553902Z</LastSavedDate>
      <BrokenBy i:nil="true"/>
      <BrokenDate>0001-01-01T00:00:00</BrokenDate>
      <CreatedByOperation>Add</CreatedByOperation>
      <ExcelText i:nil="true"/>
      <ExcelValue2 i:nil="true"/>
      <IsBroken>false</IsBroken>
      <ModifiedByOperation>Reload</ModifiedByOperation>
      <Prefs i:nil="true"/>
      <SdtTitle>AL-MDA_T1 - BSBK_Workbook</SdtTitle>
      <SdtTag>f2d9b2de-f9ff-4dff-a3fe-1baa3bc0a3e6</SdtTag>
      <Preferences>
        <TextForceFontBlack>true</TextForceFontBlack>
        <TextForceFontName>Calibri</TextForceFontNam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left</TableAlignment>
      </Preferences>
      <ExcelRangeName>MDA_T1</ExcelRangeName>
      <ExcelRange>
        <Left>1</Left>
        <Top>1</Top>
        <Right>13</Right>
        <Bottom>9</Bottom>
      </ExcelRange>
      <WorkbookAbsoluteFilePath>https://app.activedisclosure.com/sites/bsbk/b864710a5e414b339973b742c83e12ad/Project Document Library/Excel Workbooks/BSBK_Workbook.xlsx</WorkbookAbsoluteFilePath>
      <WorkbookRelativeFilePath>../../../b864710a5e414b339973b742c83e12ad/Project%20Document%20Library/Excel%20Workbooks/BSBK_Workbook.xlsx</WorkbookRelativeFilePath>
      <WorksheetName>MDA_T1</WorksheetName>
      <TableWidthType>Percent100</TableWidthType>
      <TableWidthPercent>100</TableWidthPercent>
      <ExcelColumnData>
        <ExcelColumnData>
          <ExcelColumnIndex>0</ExcelColumnIndex>
          <WordColumnCount>1</WordColumnCount>
          <Hidden>false</Hidden>
          <WidthInTwips>3630</WidthInTwips>
        </ExcelColumnData>
        <ExcelColumnData>
          <ExcelColumnIndex>1</ExcelColumnIndex>
          <WordColumnCount>1</WordColumnCount>
          <Hidden>false</Hidden>
          <WidthInTwips>180</WidthInTwips>
        </ExcelColumnData>
        <ExcelColumnData>
          <ExcelColumnIndex>2</ExcelColumnIndex>
          <WordColumnCount>3</WordColumnCount>
          <Hidden>false</Hidden>
          <WidthInTwips>1185</WidthInTwips>
        </ExcelColumnData>
        <ExcelColumnData>
          <ExcelColumnIndex>3</ExcelColumnIndex>
          <WordColumnCount>1</WordColumnCount>
          <Hidden>false</Hidden>
          <WidthInTwips>180</WidthInTwips>
        </ExcelColumnData>
        <ExcelColumnData>
          <ExcelColumnIndex>4</ExcelColumnIndex>
          <WordColumnCount>3</WordColumnCount>
          <Hidden>false</Hidden>
          <WidthInTwips>1650</WidthInTwips>
        </ExcelColumnData>
        <ExcelColumnData>
          <ExcelColumnIndex>5</ExcelColumnIndex>
          <WordColumnCount>1</WordColumnCount>
          <Hidden>false</Hidden>
          <WidthInTwips>180</WidthInTwips>
        </ExcelColumnData>
        <ExcelColumnData>
          <ExcelColumnIndex>6</ExcelColumnIndex>
          <WordColumnCount>3</WordColumnCount>
          <Hidden>false</Hidden>
          <WidthInTwips>1650</WidthInTwips>
        </ExcelColumnData>
        <ExcelColumnData>
          <ExcelColumnIndex>7</ExcelColumnIndex>
          <WordColumnCount>1</WordColumnCount>
          <Hidden>false</Hidden>
          <WidthInTwips>180</WidthInTwips>
        </ExcelColumnData>
        <ExcelColumnData>
          <ExcelColumnIndex>8</ExcelColumnIndex>
          <WordColumnCount>3</WordColumnCount>
          <Hidden>false</Hidden>
          <WidthInTwips>1185</WidthInTwips>
        </ExcelColumnData>
        <ExcelColumnData>
          <ExcelColumnIndex>9</ExcelColumnIndex>
          <WordColumnCount>1</WordColumnCount>
          <Hidden>false</Hidden>
          <WidthInTwips>180</WidthInTwips>
        </ExcelColumnData>
        <ExcelColumnData>
          <ExcelColumnIndex>10</ExcelColumnIndex>
          <WordColumnCount>3</WordColumnCount>
          <Hidden>false</Hidden>
          <WidthInTwips>1650</WidthInTwips>
        </ExcelColumnData>
        <ExcelColumnData>
          <ExcelColumnIndex>11</ExcelColumnIndex>
          <WordColumnCount>1</WordColumnCount>
          <Hidden>false</Hidden>
          <WidthInTwips>180</WidthInTwips>
        </ExcelColumnData>
        <ExcelColumnData>
          <ExcelColumnIndex>12</ExcelColumnIndex>
          <WordColumnCount>3</WordColumnCount>
          <Hidden>false</Hidden>
          <WidthInTwips>1650</WidthInTwips>
        </ExcelColumnData>
      </ExcelColumnData>
      <ExcelMergedAreas>
        <Rectangle>
          <Left>3</Left>
          <Top>1</Top>
          <Right>7</Right>
          <Bottom>1</Bottom>
        </Rectangle>
        <Rectangle>
          <Left>9</Left>
          <Top>1</Top>
          <Right>13</Right>
          <Bottom>1</Bottom>
        </Rectangle>
      </ExcelMergedAreas>
      <ExcelHiddenRows xmlns:d4p1="http://schemas.microsoft.com/2003/10/Serialization/Arrays"/>
    </ContentControlData>
    <ContentControlData>
      <CreatedApplicationName>DFS ActiveLink Word Add-in</CreatedApplicationName>
      <CreatedApplicationVersion>2.5.9.2</CreatedApplicationVersion>
      <CreatedBy>BOGOTASAVINGS\bmccourt</CreatedBy>
      <CreatedDate>2020-10-19T17:32:45.2205628Z</CreatedDate>
      <ModifiedApplicationName>DFS ActiveLink Word Add-in</ModifiedApplicationName>
      <ModifiedApplicationVersion>2.5.9.2</ModifiedApplicationVersion>
      <ModifiedBy>BOGOTASAVINGS\bmccourt</ModifiedBy>
      <LastSavedDate>2020-10-28T16:18:52.86561Z</LastSavedDate>
      <BrokenBy i:nil="true"/>
      <BrokenDate>0001-01-01T00:00:00</BrokenDate>
      <CreatedByOperation>Add</CreatedByOperation>
      <ExcelText i:nil="true"/>
      <ExcelValue2 i:nil="true"/>
      <IsBroken>false</IsBroken>
      <ModifiedByOperation>Refresh</ModifiedByOperation>
      <Prefs i:nil="true"/>
      <SdtTitle>AL-GAAP - BSBK_Workbook</SdtTitle>
      <SdtTag>e423ee12-0532-4bed-b9c9-023774fa514a</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left</TableAlignment>
      </Preferences>
      <ExcelRangeName>GAAP</ExcelRangeName>
      <ExcelRange>
        <Left>1</Left>
        <Top>25</Top>
        <Right>7</Right>
        <Bottom>49</Bottom>
      </ExcelRange>
      <WorkbookAbsoluteFilePath>https://app.activedisclosure.com/sites/bsbk/b864710a5e414b339973b742c83e12ad/Project Document Library/Excel Workbooks/BSBK_Workbook.xlsx</WorkbookAbsoluteFilePath>
      <WorkbookRelativeFilePath>../../../b864710a5e414b339973b742c83e12ad/Project%20Document%20Library/Excel%20Workbooks/BSBK_Workbook.xlsx</WorkbookRelativeFilePath>
      <WorksheetName>EX991_T3</WorksheetName>
      <TableWidthType>Percent100</TableWidthType>
      <TableWidthPercent>100</TableWidthPercent>
      <ExcelColumnData>
        <ExcelColumnData>
          <ExcelColumnIndex>0</ExcelColumnIndex>
          <WordColumnCount>1</WordColumnCount>
          <Hidden>false</Hidden>
          <WidthInTwips>7425</WidthInTwips>
        </ExcelColumnData>
        <ExcelColumnData>
          <ExcelColumnIndex>1</ExcelColumnIndex>
          <WordColumnCount>3</WordColumnCount>
          <Hidden>false</Hidden>
          <WidthInTwips>1650</WidthInTwips>
        </ExcelColumnData>
        <ExcelColumnData>
          <ExcelColumnIndex>2</ExcelColumnIndex>
          <WordColumnCount>1</WordColumnCount>
          <Hidden>false</Hidden>
          <WidthInTwips>180</WidthInTwips>
        </ExcelColumnData>
        <ExcelColumnData>
          <ExcelColumnIndex>3</ExcelColumnIndex>
          <WordColumnCount>3</WordColumnCount>
          <Hidden>false</Hidden>
          <WidthInTwips>1650</WidthInTwips>
        </ExcelColumnData>
        <ExcelColumnData>
          <ExcelColumnIndex>4</ExcelColumnIndex>
          <WordColumnCount>1</WordColumnCount>
          <Hidden>false</Hidden>
          <WidthInTwips>180</WidthInTwips>
        </ExcelColumnData>
        <ExcelColumnData>
          <ExcelColumnIndex>5</ExcelColumnIndex>
          <WordColumnCount>3</WordColumnCount>
          <Hidden>false</Hidden>
          <WidthInTwips>1650</WidthInTwips>
        </ExcelColumnData>
        <ExcelColumnData>
          <ExcelColumnIndex>6</ExcelColumnIndex>
          <WordColumnCount>1</WordColumnCount>
          <Hidden>false</Hidden>
          <WidthInTwips>180</WidthInTwips>
        </ExcelColumnData>
      </ExcelColumnData>
      <ExcelMergedAreas>
        <Rectangle>
          <Left>2</Left>
          <Top>25</Top>
          <Right>6</Right>
          <Bottom>25</Bottom>
        </Rectangle>
        <Rectangle>
          <Left>2</Left>
          <Top>31</Top>
          <Right>6</Right>
          <Bottom>31</Bottom>
        </Rectangle>
        <Rectangle>
          <Left>2</Left>
          <Top>37</Top>
          <Right>6</Right>
          <Bottom>37</Bottom>
        </Rectangle>
        <Rectangle>
          <Left>2</Left>
          <Top>44</Top>
          <Right>6</Right>
          <Bottom>44</Bottom>
        </Rectangle>
      </ExcelMergedAreas>
      <ExcelHiddenRows xmlns:d4p1="http://schemas.microsoft.com/2003/10/Serialization/Arrays"/>
    </ContentControlData>
    <ContentControlData>
      <CreatedApplicationName>DFS ActiveLink Word Add-in</CreatedApplicationName>
      <CreatedApplicationVersion>2.5.9.2</CreatedApplicationVersion>
      <CreatedBy>BOGOTASAVINGS\bmccourt</CreatedBy>
      <CreatedDate>2020-10-27T20:30:45.1601848Z</CreatedDate>
      <ModifiedApplicationName>DFS ActiveLink Word Add-in</ModifiedApplicationName>
      <ModifiedApplicationVersion>2.5.9.2</ModifiedApplicationVersion>
      <ModifiedBy>BOGOTASAVINGS\bmccourt</ModifiedBy>
      <LastSavedDate>2020-10-27T20:34:24.5010682Z</LastSavedDate>
      <BrokenBy i:nil="true"/>
      <BrokenDate>0001-01-01T00:00:00</BrokenDate>
      <CreatedByOperation>Add</CreatedByOperation>
      <ExcelText i:nil="true"/>
      <ExcelValue2 i:nil="true"/>
      <IsBroken>false</IsBroken>
      <ModifiedByOperation>Reload</ModifiedByOperation>
      <Prefs i:nil="true"/>
      <SdtTitle>AL-GAAP2 - BSBK_Workbook</SdtTitle>
      <SdtTag>621801a4-937e-4762-b3a9-80e947f059bb</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left</TableAlignment>
      </Preferences>
      <ExcelRangeName>GAAP2</ExcelRangeName>
      <ExcelRange>
        <Left>1</Left>
        <Top>50</Top>
        <Right>5</Right>
        <Bottom>56</Bottom>
      </ExcelRange>
      <WorkbookAbsoluteFilePath>https://app.activedisclosure.com/sites/bsbk/b864710a5e414b339973b742c83e12ad/Project Document Library/Excel Workbooks/BSBK_Workbook.xlsx</WorkbookAbsoluteFilePath>
      <WorkbookRelativeFilePath>../../../b864710a5e414b339973b742c83e12ad/Project%20Document%20Library/Excel%20Workbooks/BSBK_Workbook.xlsx</WorkbookRelativeFilePath>
      <WorksheetName>EX991_T3</WorksheetName>
      <TableWidthType>Percent100</TableWidthType>
      <TableWidthPercent>100</TableWidthPercent>
      <ExcelColumnData>
        <ExcelColumnData>
          <ExcelColumnIndex>0</ExcelColumnIndex>
          <WordColumnCount>1</WordColumnCount>
          <Hidden>false</Hidden>
          <WidthInTwips>7425</WidthInTwips>
        </ExcelColumnData>
        <ExcelColumnData>
          <ExcelColumnIndex>1</ExcelColumnIndex>
          <WordColumnCount>3</WordColumnCount>
          <Hidden>false</Hidden>
          <WidthInTwips>1650</WidthInTwips>
        </ExcelColumnData>
        <ExcelColumnData>
          <ExcelColumnIndex>2</ExcelColumnIndex>
          <WordColumnCount>1</WordColumnCount>
          <Hidden>false</Hidden>
          <WidthInTwips>180</WidthInTwips>
        </ExcelColumnData>
        <ExcelColumnData>
          <ExcelColumnIndex>3</ExcelColumnIndex>
          <WordColumnCount>3</WordColumnCount>
          <Hidden>false</Hidden>
          <WidthInTwips>1650</WidthInTwips>
        </ExcelColumnData>
        <ExcelColumnData>
          <ExcelColumnIndex>4</ExcelColumnIndex>
          <WordColumnCount>1</WordColumnCount>
          <Hidden>false</Hidden>
          <WidthInTwips>180</WidthInTwips>
        </ExcelColumnData>
      </ExcelColumnData>
      <ExcelMergedAreas>
        <Rectangle>
          <Left>2</Left>
          <Top>50</Top>
          <Right>4</Right>
          <Bottom>50</Bottom>
        </Rectangle>
      </ExcelMergedAreas>
      <ExcelHiddenRows xmlns:d4p1="http://schemas.microsoft.com/2003/10/Serialization/Arrays"/>
    </ContentControlData>
  </ContentControls>
  <PreferredPreferences i:nil="true"/>
  <RecentSuffixes xmlns:d2p1="http://schemas.microsoft.com/2003/10/Serialization/Arrays"/>
  <RecentPrefixes xmlns:d2p1="http://schemas.microsoft.com/2003/10/Serialization/Arrays"/>
</ActiveLink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FE47F-386D-47A2-B9F0-0928182A6172}">
  <ds:schemaRefs>
    <ds:schemaRef ds:uri="http://www.rrdonnelley.com/programs/activelink/data"/>
    <ds:schemaRef ds:uri="http://schemas.microsoft.com/2003/10/Serialization/Arrays"/>
  </ds:schemaRefs>
</ds:datastoreItem>
</file>

<file path=customXml/itemProps2.xml><?xml version="1.0" encoding="utf-8"?>
<ds:datastoreItem xmlns:ds="http://schemas.openxmlformats.org/officeDocument/2006/customXml" ds:itemID="{B390A431-A1B5-094E-9C52-6400D221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3979</Words>
  <Characters>22683</Characters>
  <Application>Microsoft Office Word</Application>
  <DocSecurity>0</DocSecurity>
  <PresentationFormat>15|.DOCX</PresentationFormat>
  <Lines>189</Lines>
  <Paragraphs>53</Paragraphs>
  <ScaleCrop>false</ScaleCrop>
  <HeadingPairs>
    <vt:vector size="2" baseType="variant">
      <vt:variant>
        <vt:lpstr>Title</vt:lpstr>
      </vt:variant>
      <vt:variant>
        <vt:i4>1</vt:i4>
      </vt:variant>
    </vt:vector>
  </HeadingPairs>
  <TitlesOfParts>
    <vt:vector size="1" baseType="lpstr">
      <vt:lpstr>Earnings Release (Q1 2020) -- Bogota Financial  (00361680.DOCX;4)</vt:lpstr>
    </vt:vector>
  </TitlesOfParts>
  <Company>Hewlett-Packard Company</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Earnings Release (Q1 2020) -- Bogota Financial  (00361680.DOCX;4)</dc:title>
  <dc:subject>wdNOSTAMP</dc:subject>
  <dc:creator>Luse Gorman</dc:creator>
  <cp:lastModifiedBy>Matthew Langer</cp:lastModifiedBy>
  <cp:revision>2</cp:revision>
  <cp:lastPrinted>2020-10-16T14:40:00Z</cp:lastPrinted>
  <dcterms:created xsi:type="dcterms:W3CDTF">2020-11-03T14:08:00Z</dcterms:created>
  <dcterms:modified xsi:type="dcterms:W3CDTF">2020-11-03T14:08:00Z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11/18/2019 1:09:52 PM</vt:lpwstr>
  </property>
</Properties>
</file>